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74795" w:rsidRPr="00E74795" w14:paraId="2C3C1619" w14:textId="77777777" w:rsidTr="00E74795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78103292" w14:textId="77777777" w:rsidR="00E74795" w:rsidRPr="00E74795" w:rsidRDefault="00E74795" w:rsidP="00E74795">
            <w:pPr>
              <w:spacing w:line="488" w:lineRule="atLeast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202020"/>
                <w:kern w:val="36"/>
                <w:sz w:val="39"/>
                <w:szCs w:val="39"/>
                <w:lang w:eastAsia="en-GB"/>
              </w:rPr>
            </w:pPr>
            <w:r w:rsidRPr="00E74795">
              <w:rPr>
                <w:rFonts w:ascii="Helvetica" w:eastAsia="Times New Roman" w:hAnsi="Helvetica" w:cs="Times New Roman"/>
                <w:b/>
                <w:bCs/>
                <w:color w:val="202020"/>
                <w:kern w:val="36"/>
                <w:sz w:val="39"/>
                <w:szCs w:val="39"/>
                <w:lang w:eastAsia="en-GB"/>
              </w:rPr>
              <w:t>Paediatric Inflammatory Multisystem Syndrome</w:t>
            </w:r>
          </w:p>
          <w:p w14:paraId="20710E3E" w14:textId="77777777" w:rsidR="00E74795" w:rsidRPr="00E74795" w:rsidRDefault="00E74795" w:rsidP="00E74795">
            <w:pPr>
              <w:spacing w:line="360" w:lineRule="atLeast"/>
              <w:rPr>
                <w:rFonts w:ascii="Helvetica" w:eastAsia="Times New Roman" w:hAnsi="Helvetica" w:cs="Times New Roman"/>
                <w:color w:val="202020"/>
                <w:lang w:eastAsia="en-GB"/>
              </w:rPr>
            </w:pP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The Australian Health Protection Principal Committee (AHPPC) has responded to recent reports linking Kawasaki Disease and COVID-19 by releasing this statement: 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AHPPC has considered advice from the Acute Inflammatory Vasculitis Working Group and the Paediatric Active Enhanced Disease Surveillance, regarding a condition provisionally named Paediatric Inflammatory Multisystem Syndrome Temporally associated with SARS-COV-2 (PIMS TS).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PIMS-TS is a newly described condition in children with features that overlap with Kawasaki Disease (KD) and Toxic Shock Syndrome (TSS); it appears to be associated with COVID-19 in certain circumstances.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To date, PIMS-TS has been reported in children from countries such as the USA, UK and Europe who are experiencing widespread community-based transmission of SARS-CoV-2 and thus, much higher rates of paediatric disease. COVID-19 in children is less common and typically a mild disease. PIMS-TS appears to be rare but worthy of better understanding.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The overall risk for any severe COVID-19 outcomes in children in the Australian context remains extremely low and no cases of PIMS-TS have been identified in Australia at this time. However, AHPPC supports: 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•    enhanced surveillance capabilities for this and related conditions in Australia during the COVID-19 pandemic.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•    communication to paediatricians and general practitioners to make them aware of this potential complication of COVID-19.</w:t>
            </w:r>
            <w:r w:rsidRPr="00E74795">
              <w:rPr>
                <w:rFonts w:ascii="Helvetica" w:eastAsia="Times New Roman" w:hAnsi="Helvetica" w:cs="Times New Roman"/>
                <w:color w:val="202020"/>
                <w:lang w:eastAsia="en-GB"/>
              </w:rPr>
              <w:br/>
              <w:t>•    cooperation with paediatricians, surveillance and research networks internationally regarding further developments.</w:t>
            </w:r>
          </w:p>
        </w:tc>
      </w:tr>
    </w:tbl>
    <w:p w14:paraId="1828920E" w14:textId="77777777" w:rsidR="00E74795" w:rsidRDefault="00E74795"/>
    <w:sectPr w:rsidR="00E74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5"/>
    <w:rsid w:val="00E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7254C"/>
  <w15:chartTrackingRefBased/>
  <w15:docId w15:val="{842655BC-663D-8742-9835-52D3479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7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Bridger</dc:creator>
  <cp:keywords/>
  <dc:description/>
  <cp:lastModifiedBy>Di Bridger</cp:lastModifiedBy>
  <cp:revision>1</cp:revision>
  <dcterms:created xsi:type="dcterms:W3CDTF">2020-05-24T23:41:00Z</dcterms:created>
  <dcterms:modified xsi:type="dcterms:W3CDTF">2020-05-24T23:42:00Z</dcterms:modified>
</cp:coreProperties>
</file>