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8315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COVID-19</w:t>
      </w: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r w:rsidRPr="00307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UPDATE 38: Friday, 10 April 2020 12:05pm</w:t>
      </w:r>
    </w:p>
    <w:p w14:paraId="086E604C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D7108C6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Dear Staff </w:t>
      </w:r>
    </w:p>
    <w:p w14:paraId="446A3A25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A456958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 part of our ongoing commitment to keep you updated, here is the latest information on confirmed COVID-19 cases across the District:</w:t>
      </w:r>
    </w:p>
    <w:p w14:paraId="13E72EE3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6FE6CBE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According to our latest situation report, the total number of confirmed COVID cases in Hunter New England is 260. This is an additional two cases of COVID-19 since our last update to staff yesterday.</w:t>
      </w:r>
    </w:p>
    <w:p w14:paraId="099E8A4C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22C2DD9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You may observe that the data provided in the staff update can differ slightly from the information released </w:t>
      </w:r>
      <w:proofErr w:type="spellStart"/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publically</w:t>
      </w:r>
      <w:proofErr w:type="spellEnd"/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the media and via our Facebook page. This is because the public data is reported at a particular point in time and aligned with the release of the NSW Ministry of Health </w:t>
      </w:r>
      <w:proofErr w:type="gramStart"/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state wide</w:t>
      </w:r>
      <w:proofErr w:type="gramEnd"/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data on their website. Case numbers can also change as they undergo further investigation and review.  </w:t>
      </w:r>
    </w:p>
    <w:p w14:paraId="13E7A611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8DA918C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</w:tblGrid>
      <w:tr w:rsidR="00307D43" w:rsidRPr="00307D43" w14:paraId="2CE89250" w14:textId="77777777" w:rsidTr="00307D43">
        <w:trPr>
          <w:trHeight w:val="364"/>
          <w:jc w:val="center"/>
        </w:trPr>
        <w:tc>
          <w:tcPr>
            <w:tcW w:w="4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E8A9E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Table 1: Confirmed cases by sex and age group</w:t>
            </w:r>
          </w:p>
        </w:tc>
      </w:tr>
      <w:tr w:rsidR="00307D43" w:rsidRPr="00307D43" w14:paraId="3589F600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C267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E43B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53D1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7575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Total</w:t>
            </w:r>
          </w:p>
        </w:tc>
      </w:tr>
      <w:tr w:rsidR="00307D43" w:rsidRPr="00307D43" w14:paraId="7A3F212D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3871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0-9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03BE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6ECF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CC6D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</w:t>
            </w:r>
          </w:p>
        </w:tc>
      </w:tr>
      <w:tr w:rsidR="00307D43" w:rsidRPr="00307D43" w14:paraId="40C844DE" w14:textId="77777777" w:rsidTr="00307D43">
        <w:trPr>
          <w:trHeight w:val="35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A24C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2DA1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422B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4CCD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12</w:t>
            </w:r>
          </w:p>
        </w:tc>
      </w:tr>
      <w:tr w:rsidR="00307D43" w:rsidRPr="00307D43" w14:paraId="434E3FE8" w14:textId="77777777" w:rsidTr="00307D43">
        <w:trPr>
          <w:trHeight w:val="35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BDCE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7AC7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F032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8814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45</w:t>
            </w:r>
          </w:p>
        </w:tc>
      </w:tr>
      <w:tr w:rsidR="00307D43" w:rsidRPr="00307D43" w14:paraId="3993E080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7C8D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30-39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FBD3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95E3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DCD6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32</w:t>
            </w:r>
          </w:p>
        </w:tc>
      </w:tr>
      <w:tr w:rsidR="00307D43" w:rsidRPr="00307D43" w14:paraId="2283BFFD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6869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8326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1E25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6D5F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14</w:t>
            </w:r>
          </w:p>
        </w:tc>
      </w:tr>
      <w:tr w:rsidR="00307D43" w:rsidRPr="00307D43" w14:paraId="57E568A1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04A8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50-59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8043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855E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7118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42</w:t>
            </w:r>
          </w:p>
        </w:tc>
      </w:tr>
      <w:tr w:rsidR="00307D43" w:rsidRPr="00307D43" w14:paraId="3E7BD6C3" w14:textId="77777777" w:rsidTr="00307D43">
        <w:trPr>
          <w:trHeight w:val="350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CA33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60-69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8B49B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9359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8CAE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53</w:t>
            </w:r>
          </w:p>
        </w:tc>
      </w:tr>
      <w:tr w:rsidR="00307D43" w:rsidRPr="00307D43" w14:paraId="5FCC24A8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D1E1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72D0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79BE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423F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45</w:t>
            </w:r>
          </w:p>
        </w:tc>
      </w:tr>
      <w:tr w:rsidR="00307D43" w:rsidRPr="00307D43" w14:paraId="7564513E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71C98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80-89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CBB5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CC73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2E9E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16</w:t>
            </w:r>
          </w:p>
        </w:tc>
      </w:tr>
      <w:tr w:rsidR="00307D43" w:rsidRPr="00307D43" w14:paraId="4A8B8AB3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9C4E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1BA6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9BCD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4E1EA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0</w:t>
            </w:r>
          </w:p>
        </w:tc>
      </w:tr>
      <w:tr w:rsidR="00307D43" w:rsidRPr="00307D43" w14:paraId="1B040A4C" w14:textId="77777777" w:rsidTr="00307D43">
        <w:trPr>
          <w:trHeight w:val="36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D3CF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A3C8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2BF6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6351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260</w:t>
            </w:r>
          </w:p>
        </w:tc>
      </w:tr>
    </w:tbl>
    <w:p w14:paraId="050BC05B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EDF261F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850"/>
      </w:tblGrid>
      <w:tr w:rsidR="00307D43" w:rsidRPr="00307D43" w14:paraId="6D0D6CB2" w14:textId="77777777" w:rsidTr="00307D43">
        <w:trPr>
          <w:trHeight w:val="364"/>
          <w:jc w:val="center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3C8B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Table 2: Confirmed cases by source of infection</w:t>
            </w:r>
          </w:p>
        </w:tc>
      </w:tr>
      <w:tr w:rsidR="00307D43" w:rsidRPr="00307D43" w14:paraId="03A4CA61" w14:textId="77777777" w:rsidTr="00307D43">
        <w:trPr>
          <w:trHeight w:val="36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DE74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Overseas travel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D04B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197</w:t>
            </w:r>
          </w:p>
        </w:tc>
      </w:tr>
      <w:tr w:rsidR="00307D43" w:rsidRPr="00307D43" w14:paraId="38041251" w14:textId="77777777" w:rsidTr="00307D43">
        <w:trPr>
          <w:trHeight w:val="36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ABE6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Locally Acquired, contact with a confirmed case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8D64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35</w:t>
            </w:r>
          </w:p>
        </w:tc>
      </w:tr>
      <w:tr w:rsidR="00307D43" w:rsidRPr="00307D43" w14:paraId="291147F5" w14:textId="77777777" w:rsidTr="00307D43">
        <w:trPr>
          <w:trHeight w:val="36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70DD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Locally Acquired, no contact identified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940C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24 </w:t>
            </w:r>
          </w:p>
        </w:tc>
      </w:tr>
      <w:tr w:rsidR="00307D43" w:rsidRPr="00307D43" w14:paraId="4749F9EF" w14:textId="77777777" w:rsidTr="00307D43">
        <w:trPr>
          <w:trHeight w:val="36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534E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Under investigation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8DE2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  <w:t>4</w:t>
            </w:r>
          </w:p>
        </w:tc>
      </w:tr>
      <w:tr w:rsidR="00307D43" w:rsidRPr="00307D43" w14:paraId="6D43D0B6" w14:textId="77777777" w:rsidTr="00307D43">
        <w:trPr>
          <w:trHeight w:val="364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0FB3" w14:textId="77777777" w:rsidR="00307D43" w:rsidRPr="00307D43" w:rsidRDefault="00307D43" w:rsidP="00307D4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49FB" w14:textId="77777777" w:rsidR="00307D43" w:rsidRPr="00307D43" w:rsidRDefault="00307D43" w:rsidP="00307D43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260</w:t>
            </w:r>
          </w:p>
        </w:tc>
      </w:tr>
    </w:tbl>
    <w:p w14:paraId="5DAACE9A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CC4C6C7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Currently 15 patients are receiving care from Hospital in the Home services, and 9 COVID-19 patients are being cared for in our hospitals.</w:t>
      </w:r>
    </w:p>
    <w:p w14:paraId="240AC285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tbl>
      <w:tblPr>
        <w:tblW w:w="57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542"/>
        <w:gridCol w:w="1382"/>
      </w:tblGrid>
      <w:tr w:rsidR="00307D43" w:rsidRPr="00307D43" w14:paraId="517DE6C0" w14:textId="77777777" w:rsidTr="00307D43">
        <w:trPr>
          <w:trHeight w:val="367"/>
          <w:jc w:val="center"/>
        </w:trPr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3677" w14:textId="77777777" w:rsidR="00307D43" w:rsidRPr="00307D43" w:rsidRDefault="00307D43" w:rsidP="00307D43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Hospital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5E61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ICU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7F56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Acute Ward</w:t>
            </w:r>
          </w:p>
        </w:tc>
      </w:tr>
      <w:tr w:rsidR="00307D43" w:rsidRPr="00307D43" w14:paraId="204B92AF" w14:textId="77777777" w:rsidTr="00307D43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2BCA" w14:textId="77777777" w:rsidR="00307D43" w:rsidRPr="00307D43" w:rsidRDefault="00307D43" w:rsidP="00307D43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John Hunter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CEA2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E60F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307D43" w:rsidRPr="00307D43" w14:paraId="4DDF4DA3" w14:textId="77777777" w:rsidTr="00307D43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171F" w14:textId="77777777" w:rsidR="00307D43" w:rsidRPr="00307D43" w:rsidRDefault="00307D43" w:rsidP="00307D43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Calvary Mater Newcastle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C80B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2848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307D43" w:rsidRPr="00307D43" w14:paraId="05B48FA4" w14:textId="77777777" w:rsidTr="00307D43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4D3F" w14:textId="77777777" w:rsidR="00307D43" w:rsidRPr="00307D43" w:rsidRDefault="00307D43" w:rsidP="00307D43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Belmont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13FE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DFAA0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307D43" w:rsidRPr="00307D43" w14:paraId="22BE5A56" w14:textId="77777777" w:rsidTr="00307D43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2CF0" w14:textId="77777777" w:rsidR="00307D43" w:rsidRPr="00307D43" w:rsidRDefault="00307D43" w:rsidP="00307D43">
            <w:pPr>
              <w:spacing w:line="231" w:lineRule="atLeas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F363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1514" w14:textId="77777777" w:rsidR="00307D43" w:rsidRPr="00307D43" w:rsidRDefault="00307D43" w:rsidP="00307D43">
            <w:pPr>
              <w:spacing w:line="231" w:lineRule="atLeast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07D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</w:tbl>
    <w:p w14:paraId="7B9C6650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A0DF96F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526E03B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Across the District, 164 people have recovered and two have died.</w:t>
      </w:r>
    </w:p>
    <w:p w14:paraId="7F750727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7A06D8F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097F3AB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Advice for the Easter long weekend</w:t>
      </w:r>
    </w:p>
    <w:p w14:paraId="106BD678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</w:p>
    <w:p w14:paraId="140F6A13" w14:textId="77777777" w:rsidR="00307D43" w:rsidRPr="00307D43" w:rsidRDefault="00307D43" w:rsidP="00307D43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would like to remind you that we have made some slight changes to the operating hours of some of our testing clinics for the long weekend.</w:t>
      </w:r>
    </w:p>
    <w:p w14:paraId="2E652263" w14:textId="77777777" w:rsidR="00307D43" w:rsidRPr="00307D43" w:rsidRDefault="00307D43" w:rsidP="00307D43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following clinics will operate as usual over the long weekend:</w:t>
      </w:r>
    </w:p>
    <w:p w14:paraId="78E4EE61" w14:textId="77777777" w:rsidR="00307D43" w:rsidRPr="00307D43" w:rsidRDefault="00307D43" w:rsidP="00307D43">
      <w:pPr>
        <w:numPr>
          <w:ilvl w:val="0"/>
          <w:numId w:val="1"/>
        </w:numPr>
        <w:spacing w:before="100" w:beforeAutospacing="1" w:after="160" w:line="189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307D4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Belmont Hospital Clinic drive-through service will operate between 8am-4.30pm each day,</w:t>
      </w:r>
    </w:p>
    <w:p w14:paraId="0199E4D8" w14:textId="77777777" w:rsidR="00307D43" w:rsidRPr="00307D43" w:rsidRDefault="00307D43" w:rsidP="00307D43">
      <w:pPr>
        <w:numPr>
          <w:ilvl w:val="0"/>
          <w:numId w:val="1"/>
        </w:numPr>
        <w:spacing w:before="100" w:beforeAutospacing="1" w:after="160" w:line="189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307D4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John Hunter Hospital Clinic will continue to operate between 8am-10.30pm each day,</w:t>
      </w:r>
    </w:p>
    <w:p w14:paraId="07ECF1A3" w14:textId="77777777" w:rsidR="00307D43" w:rsidRPr="00307D43" w:rsidRDefault="00307D43" w:rsidP="00307D43">
      <w:pPr>
        <w:numPr>
          <w:ilvl w:val="0"/>
          <w:numId w:val="1"/>
        </w:numPr>
        <w:spacing w:before="100" w:beforeAutospacing="1" w:after="160" w:line="189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307D4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The Manning Hospital Clinic will operate between 8am-4.30pm each day</w:t>
      </w:r>
    </w:p>
    <w:p w14:paraId="27FEB26A" w14:textId="77777777" w:rsidR="00307D43" w:rsidRPr="00307D43" w:rsidRDefault="00307D43" w:rsidP="00307D43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 Calvary Mater Newcastle Clinic will be closed from Friday to Monday inclusive. </w:t>
      </w:r>
    </w:p>
    <w:p w14:paraId="710F5453" w14:textId="77777777" w:rsidR="00307D43" w:rsidRPr="00307D43" w:rsidRDefault="00307D43" w:rsidP="00307D43">
      <w:pPr>
        <w:spacing w:after="160" w:line="231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Maitland Hospital Clinic will be open from 10am – 4pm this Thursday, Saturday and Monday, and will close on Good Friday and Easter Sunday. </w:t>
      </w:r>
    </w:p>
    <w:p w14:paraId="7422E51B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Stay updated</w:t>
      </w:r>
    </w:p>
    <w:p w14:paraId="79BC2315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</w:p>
    <w:p w14:paraId="419ADA95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Stay up to date with our latest developments via the </w:t>
      </w:r>
      <w:hyperlink r:id="rId5" w:history="1">
        <w:r w:rsidRPr="00307D4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HNE Health Facebook page</w:t>
        </w:r>
      </w:hyperlink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and the </w:t>
      </w:r>
      <w:hyperlink r:id="rId6" w:history="1">
        <w:r w:rsidRPr="00307D4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HNE Health YouTube channel</w:t>
        </w:r>
      </w:hyperlink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as well as </w:t>
      </w:r>
      <w:hyperlink r:id="rId7" w:anchor=".XngzvJCP5aQ" w:history="1">
        <w:r w:rsidRPr="00307D4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Patientinfo.org.au</w:t>
        </w:r>
      </w:hyperlink>
    </w:p>
    <w:p w14:paraId="6CC06D01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D22A844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information can be shared with your networks, families and friends to help us spread these important messages to our wider communities.</w:t>
      </w:r>
    </w:p>
    <w:p w14:paraId="259DF792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82F5EBA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Clinician-specific information related to COVID-19 is available at </w:t>
      </w:r>
      <w:hyperlink r:id="rId8" w:history="1">
        <w:r w:rsidRPr="00307D43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en-GB"/>
          </w:rPr>
          <w:t>COVID-19 Clinical Guidelines</w:t>
        </w:r>
      </w:hyperlink>
      <w:r w:rsidRPr="00307D43"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GB"/>
        </w:rPr>
        <w:t>.</w:t>
      </w:r>
    </w:p>
    <w:p w14:paraId="0C51D260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GB"/>
        </w:rPr>
        <w:t> </w:t>
      </w:r>
    </w:p>
    <w:p w14:paraId="3A006752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GB"/>
        </w:rPr>
        <w:t>Kind regards</w:t>
      </w:r>
    </w:p>
    <w:p w14:paraId="3C888257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BFD1D5E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n-GB"/>
        </w:rPr>
        <w:t xml:space="preserve">Michael </w:t>
      </w:r>
      <w:proofErr w:type="spellStart"/>
      <w:r w:rsidRPr="00307D4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n-GB"/>
        </w:rPr>
        <w:t>DiRienzo</w:t>
      </w:r>
      <w:proofErr w:type="spellEnd"/>
    </w:p>
    <w:p w14:paraId="185C9038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br/>
        <w:t>Chief Executive | </w:t>
      </w:r>
      <w:r w:rsidRPr="00307D4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n-GB"/>
        </w:rPr>
        <w:t>Hunter New England Local Health District</w:t>
      </w:r>
      <w:r w:rsidRPr="00307D43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br/>
      </w:r>
      <w:r w:rsidRPr="00307D43">
        <w:rPr>
          <w:rFonts w:ascii="Tahoma" w:eastAsia="Times New Roman" w:hAnsi="Tahoma" w:cs="Tahoma"/>
          <w:color w:val="002060"/>
          <w:sz w:val="20"/>
          <w:szCs w:val="20"/>
          <w:lang w:eastAsia="en-GB"/>
        </w:rPr>
        <w:br/>
      </w:r>
    </w:p>
    <w:p w14:paraId="32156B7E" w14:textId="77777777" w:rsidR="00307D43" w:rsidRPr="00307D43" w:rsidRDefault="00307D43" w:rsidP="00307D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07D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DF58CE3" w14:textId="77777777" w:rsidR="00307D43" w:rsidRDefault="00307D43"/>
    <w:sectPr w:rsidR="00307D43" w:rsidSect="00076A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B7F"/>
    <w:multiLevelType w:val="multilevel"/>
    <w:tmpl w:val="8E9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43"/>
    <w:rsid w:val="00076A54"/>
    <w:rsid w:val="003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1825"/>
  <w15:chartTrackingRefBased/>
  <w15:docId w15:val="{0A40C586-D64B-7240-812E-E643B27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7D43"/>
  </w:style>
  <w:style w:type="character" w:styleId="Hyperlink">
    <w:name w:val="Hyperlink"/>
    <w:basedOn w:val="DefaultParagraphFont"/>
    <w:uiPriority w:val="99"/>
    <w:semiHidden/>
    <w:unhideWhenUsed/>
    <w:rsid w:val="0030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hne.health.nsw.gov.au/novel_coronavirus/control_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ientinfo.org.au/index.htm?72684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9ZMIf0PAeY&amp;list=PL6Yvx_ulQNtX6iqN1peWEGqYyYitFJEjw" TargetMode="External"/><Relationship Id="rId5" Type="http://schemas.openxmlformats.org/officeDocument/2006/relationships/hyperlink" Target="https://www.facebook.com/HNEHeal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Bridger</dc:creator>
  <cp:keywords/>
  <dc:description/>
  <cp:lastModifiedBy>Di Bridger</cp:lastModifiedBy>
  <cp:revision>1</cp:revision>
  <dcterms:created xsi:type="dcterms:W3CDTF">2020-04-10T02:25:00Z</dcterms:created>
  <dcterms:modified xsi:type="dcterms:W3CDTF">2020-04-10T02:26:00Z</dcterms:modified>
</cp:coreProperties>
</file>