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B3" w:rsidRPr="00681D35" w:rsidRDefault="00676CCF" w:rsidP="00977739">
      <w:pPr>
        <w:jc w:val="both"/>
        <w:rPr>
          <w:rFonts w:asciiTheme="majorHAnsi" w:eastAsiaTheme="majorEastAsia" w:hAnsiTheme="majorHAnsi" w:cstheme="majorBidi"/>
          <w:b/>
          <w:color w:val="002060"/>
          <w:spacing w:val="-10"/>
          <w:kern w:val="28"/>
          <w:sz w:val="48"/>
          <w:szCs w:val="48"/>
        </w:rPr>
      </w:pPr>
      <w:r w:rsidRPr="00681D35">
        <w:rPr>
          <w:rFonts w:asciiTheme="majorHAnsi" w:eastAsiaTheme="majorEastAsia" w:hAnsiTheme="majorHAnsi" w:cstheme="majorBidi"/>
          <w:b/>
          <w:color w:val="002060"/>
          <w:spacing w:val="-10"/>
          <w:kern w:val="28"/>
          <w:sz w:val="48"/>
          <w:szCs w:val="48"/>
        </w:rPr>
        <w:t xml:space="preserve">Management of </w:t>
      </w:r>
      <w:r w:rsidR="0014500F" w:rsidRPr="00681D35">
        <w:rPr>
          <w:rFonts w:asciiTheme="majorHAnsi" w:eastAsiaTheme="majorEastAsia" w:hAnsiTheme="majorHAnsi" w:cstheme="majorBidi"/>
          <w:b/>
          <w:color w:val="002060"/>
          <w:spacing w:val="-10"/>
          <w:kern w:val="28"/>
          <w:sz w:val="48"/>
          <w:szCs w:val="48"/>
        </w:rPr>
        <w:t>COVID</w:t>
      </w:r>
      <w:r w:rsidRPr="00681D35">
        <w:rPr>
          <w:rFonts w:asciiTheme="majorHAnsi" w:eastAsiaTheme="majorEastAsia" w:hAnsiTheme="majorHAnsi" w:cstheme="majorBidi"/>
          <w:b/>
          <w:color w:val="002060"/>
          <w:spacing w:val="-10"/>
          <w:kern w:val="28"/>
          <w:sz w:val="48"/>
          <w:szCs w:val="48"/>
        </w:rPr>
        <w:t>-19 Patients in Nursing Homes – a GP Perspective</w:t>
      </w:r>
      <w:r w:rsidR="00BB53F7">
        <w:rPr>
          <w:rFonts w:asciiTheme="majorHAnsi" w:eastAsiaTheme="majorEastAsia" w:hAnsiTheme="majorHAnsi" w:cstheme="majorBidi"/>
          <w:b/>
          <w:color w:val="002060"/>
          <w:spacing w:val="-10"/>
          <w:kern w:val="28"/>
          <w:sz w:val="48"/>
          <w:szCs w:val="48"/>
        </w:rPr>
        <w:t xml:space="preserve"> </w:t>
      </w:r>
      <w:r w:rsidR="00B565E3">
        <w:rPr>
          <w:rFonts w:asciiTheme="majorHAnsi" w:eastAsiaTheme="majorEastAsia" w:hAnsiTheme="majorHAnsi" w:cstheme="majorBidi"/>
          <w:b/>
          <w:color w:val="002060"/>
          <w:spacing w:val="-10"/>
          <w:kern w:val="28"/>
          <w:sz w:val="48"/>
          <w:szCs w:val="48"/>
        </w:rPr>
        <w:t>–</w:t>
      </w:r>
      <w:r w:rsidR="00BB53F7">
        <w:rPr>
          <w:rFonts w:asciiTheme="majorHAnsi" w:eastAsiaTheme="majorEastAsia" w:hAnsiTheme="majorHAnsi" w:cstheme="majorBidi"/>
          <w:b/>
          <w:color w:val="002060"/>
          <w:spacing w:val="-10"/>
          <w:kern w:val="28"/>
          <w:sz w:val="48"/>
          <w:szCs w:val="48"/>
        </w:rPr>
        <w:t xml:space="preserve"> </w:t>
      </w:r>
      <w:r w:rsidR="00BB53F7" w:rsidRPr="00175B2F">
        <w:rPr>
          <w:rFonts w:asciiTheme="majorHAnsi" w:eastAsiaTheme="majorEastAsia" w:hAnsiTheme="majorHAnsi" w:cstheme="majorBidi"/>
          <w:b/>
          <w:color w:val="002060"/>
          <w:spacing w:val="-10"/>
          <w:kern w:val="28"/>
          <w:sz w:val="28"/>
          <w:szCs w:val="28"/>
        </w:rPr>
        <w:t>0</w:t>
      </w:r>
      <w:r w:rsidR="00B565E3">
        <w:rPr>
          <w:rFonts w:asciiTheme="majorHAnsi" w:eastAsiaTheme="majorEastAsia" w:hAnsiTheme="majorHAnsi" w:cstheme="majorBidi"/>
          <w:b/>
          <w:color w:val="002060"/>
          <w:spacing w:val="-10"/>
          <w:kern w:val="28"/>
          <w:sz w:val="28"/>
          <w:szCs w:val="28"/>
        </w:rPr>
        <w:t>3 April</w:t>
      </w:r>
      <w:r w:rsidR="00BB53F7" w:rsidRPr="00175B2F">
        <w:rPr>
          <w:rFonts w:asciiTheme="majorHAnsi" w:eastAsiaTheme="majorEastAsia" w:hAnsiTheme="majorHAnsi" w:cstheme="majorBidi"/>
          <w:b/>
          <w:color w:val="002060"/>
          <w:spacing w:val="-10"/>
          <w:kern w:val="28"/>
          <w:sz w:val="28"/>
          <w:szCs w:val="28"/>
        </w:rPr>
        <w:t xml:space="preserve"> 2020</w:t>
      </w:r>
    </w:p>
    <w:p w:rsidR="00676CCF" w:rsidRPr="0014500F" w:rsidRDefault="0014500F" w:rsidP="00977739">
      <w:pPr>
        <w:jc w:val="both"/>
        <w:rPr>
          <w:b/>
          <w:sz w:val="28"/>
          <w:szCs w:val="28"/>
        </w:rPr>
      </w:pPr>
      <w:r w:rsidRPr="0014500F">
        <w:rPr>
          <w:b/>
          <w:sz w:val="28"/>
          <w:szCs w:val="28"/>
        </w:rPr>
        <w:t>1. Preparation</w:t>
      </w:r>
    </w:p>
    <w:p w:rsidR="00463878" w:rsidRPr="00C63099" w:rsidRDefault="000D6BB2" w:rsidP="001D49BF">
      <w:pPr>
        <w:pStyle w:val="ListParagraph"/>
        <w:numPr>
          <w:ilvl w:val="0"/>
          <w:numId w:val="2"/>
        </w:numPr>
        <w:contextualSpacing w:val="0"/>
        <w:jc w:val="both"/>
        <w:rPr>
          <w:sz w:val="24"/>
          <w:szCs w:val="24"/>
        </w:rPr>
      </w:pPr>
      <w:r w:rsidRPr="00C63099">
        <w:rPr>
          <w:sz w:val="24"/>
          <w:szCs w:val="24"/>
        </w:rPr>
        <w:t xml:space="preserve">Update and </w:t>
      </w:r>
      <w:r w:rsidR="00463878" w:rsidRPr="00C63099">
        <w:rPr>
          <w:sz w:val="24"/>
          <w:szCs w:val="24"/>
        </w:rPr>
        <w:t>Rev</w:t>
      </w:r>
      <w:r w:rsidR="00AA642F" w:rsidRPr="00C63099">
        <w:rPr>
          <w:sz w:val="24"/>
          <w:szCs w:val="24"/>
        </w:rPr>
        <w:t>ise all advanced care plans</w:t>
      </w:r>
      <w:r w:rsidR="00463878" w:rsidRPr="00C63099">
        <w:rPr>
          <w:sz w:val="24"/>
          <w:szCs w:val="24"/>
        </w:rPr>
        <w:t xml:space="preserve"> with regard to wishes for treatment (nursing home care; hospital transfer; ICU; or palliation) in the event of mild Covid-19 or more severe Illness. Base this conversation on the realistic outcom</w:t>
      </w:r>
      <w:r w:rsidR="00A528EC" w:rsidRPr="00C63099">
        <w:rPr>
          <w:sz w:val="24"/>
          <w:szCs w:val="24"/>
        </w:rPr>
        <w:t xml:space="preserve">es </w:t>
      </w:r>
      <w:r w:rsidR="001D49BF">
        <w:rPr>
          <w:sz w:val="24"/>
          <w:szCs w:val="24"/>
        </w:rPr>
        <w:t>of</w:t>
      </w:r>
      <w:r w:rsidR="001D49BF" w:rsidRPr="00C63099">
        <w:rPr>
          <w:sz w:val="24"/>
          <w:szCs w:val="24"/>
        </w:rPr>
        <w:t xml:space="preserve"> </w:t>
      </w:r>
      <w:r w:rsidR="00A528EC" w:rsidRPr="00C63099">
        <w:rPr>
          <w:sz w:val="24"/>
          <w:szCs w:val="24"/>
        </w:rPr>
        <w:t>this cohort of patients includ</w:t>
      </w:r>
      <w:r w:rsidR="001D49BF">
        <w:rPr>
          <w:sz w:val="24"/>
          <w:szCs w:val="24"/>
        </w:rPr>
        <w:t>e the</w:t>
      </w:r>
      <w:r w:rsidR="00463878" w:rsidRPr="00C63099">
        <w:rPr>
          <w:sz w:val="24"/>
          <w:szCs w:val="24"/>
        </w:rPr>
        <w:t xml:space="preserve"> </w:t>
      </w:r>
      <w:r w:rsidR="001D49BF" w:rsidRPr="001D49BF">
        <w:rPr>
          <w:sz w:val="24"/>
          <w:szCs w:val="24"/>
        </w:rPr>
        <w:t xml:space="preserve">recent outback in Washington </w:t>
      </w:r>
      <w:r w:rsidR="001D49BF">
        <w:rPr>
          <w:sz w:val="24"/>
          <w:szCs w:val="24"/>
        </w:rPr>
        <w:t xml:space="preserve">which </w:t>
      </w:r>
      <w:r w:rsidR="001D49BF" w:rsidRPr="001D49BF">
        <w:rPr>
          <w:sz w:val="24"/>
          <w:szCs w:val="24"/>
        </w:rPr>
        <w:t>resulted in multiple cases including 81 residents, 34 staff members, and 14 visitors and 27.1% of residents d</w:t>
      </w:r>
      <w:r w:rsidR="001D49BF">
        <w:rPr>
          <w:sz w:val="24"/>
          <w:szCs w:val="24"/>
        </w:rPr>
        <w:t>ied</w:t>
      </w:r>
      <w:r w:rsidR="001D49BF" w:rsidRPr="001D49BF">
        <w:rPr>
          <w:sz w:val="24"/>
          <w:szCs w:val="24"/>
        </w:rPr>
        <w:t>, (</w:t>
      </w:r>
      <w:hyperlink r:id="rId8" w:anchor="suggestedcitation" w:history="1">
        <w:r w:rsidR="001D49BF" w:rsidRPr="001D49BF">
          <w:rPr>
            <w:rStyle w:val="Hyperlink"/>
            <w:sz w:val="24"/>
            <w:szCs w:val="24"/>
          </w:rPr>
          <w:t>McMichael</w:t>
        </w:r>
        <w:r w:rsidR="00B82591">
          <w:rPr>
            <w:rStyle w:val="Hyperlink"/>
            <w:sz w:val="24"/>
            <w:szCs w:val="24"/>
          </w:rPr>
          <w:t xml:space="preserve"> et al</w:t>
        </w:r>
        <w:r w:rsidR="001D49BF" w:rsidRPr="001D49BF">
          <w:rPr>
            <w:rStyle w:val="Hyperlink"/>
            <w:sz w:val="24"/>
            <w:szCs w:val="24"/>
          </w:rPr>
          <w:t>, 2020</w:t>
        </w:r>
      </w:hyperlink>
      <w:r w:rsidR="001D49BF" w:rsidRPr="001D49BF">
        <w:rPr>
          <w:sz w:val="24"/>
          <w:szCs w:val="24"/>
        </w:rPr>
        <w:t>)</w:t>
      </w:r>
      <w:r w:rsidR="00463878" w:rsidRPr="00C63099">
        <w:rPr>
          <w:sz w:val="24"/>
          <w:szCs w:val="24"/>
        </w:rPr>
        <w:t>.</w:t>
      </w:r>
      <w:r w:rsidR="00B8508E">
        <w:rPr>
          <w:sz w:val="24"/>
          <w:szCs w:val="24"/>
        </w:rPr>
        <w:t xml:space="preserve"> </w:t>
      </w:r>
    </w:p>
    <w:p w:rsidR="00B92929" w:rsidRDefault="00463878" w:rsidP="00977739">
      <w:pPr>
        <w:pStyle w:val="ListParagraph"/>
        <w:numPr>
          <w:ilvl w:val="0"/>
          <w:numId w:val="2"/>
        </w:numPr>
        <w:ind w:left="714" w:hanging="357"/>
        <w:contextualSpacing w:val="0"/>
        <w:jc w:val="both"/>
        <w:rPr>
          <w:sz w:val="24"/>
          <w:szCs w:val="24"/>
        </w:rPr>
      </w:pPr>
      <w:r w:rsidRPr="00C63099">
        <w:rPr>
          <w:sz w:val="24"/>
          <w:szCs w:val="24"/>
        </w:rPr>
        <w:t>Document this decision with an AC</w:t>
      </w:r>
      <w:r w:rsidR="00AA642F" w:rsidRPr="00C63099">
        <w:rPr>
          <w:sz w:val="24"/>
          <w:szCs w:val="24"/>
        </w:rPr>
        <w:t>P</w:t>
      </w:r>
      <w:r w:rsidRPr="00C63099">
        <w:rPr>
          <w:sz w:val="24"/>
          <w:szCs w:val="24"/>
        </w:rPr>
        <w:t>/</w:t>
      </w:r>
      <w:r w:rsidR="008116CD" w:rsidRPr="00C63099">
        <w:rPr>
          <w:sz w:val="24"/>
          <w:szCs w:val="24"/>
        </w:rPr>
        <w:t xml:space="preserve">MOLST </w:t>
      </w:r>
      <w:r w:rsidRPr="00C63099">
        <w:rPr>
          <w:sz w:val="24"/>
          <w:szCs w:val="24"/>
        </w:rPr>
        <w:t>and in GP notes.</w:t>
      </w:r>
    </w:p>
    <w:p w:rsidR="00B92929" w:rsidRPr="00A559DE" w:rsidRDefault="00B92929" w:rsidP="00B92929">
      <w:pPr>
        <w:pStyle w:val="ListParagraph"/>
        <w:numPr>
          <w:ilvl w:val="0"/>
          <w:numId w:val="2"/>
        </w:numPr>
        <w:ind w:left="714" w:hanging="357"/>
        <w:contextualSpacing w:val="0"/>
        <w:jc w:val="both"/>
        <w:rPr>
          <w:sz w:val="24"/>
          <w:szCs w:val="24"/>
        </w:rPr>
      </w:pPr>
      <w:r w:rsidRPr="00B92929">
        <w:rPr>
          <w:sz w:val="24"/>
          <w:szCs w:val="24"/>
        </w:rPr>
        <w:t xml:space="preserve">Ensure all nebulisers have been ceased. </w:t>
      </w:r>
      <w:r w:rsidRPr="00A559DE">
        <w:rPr>
          <w:sz w:val="24"/>
          <w:szCs w:val="24"/>
          <w:lang w:val="en-GB"/>
        </w:rPr>
        <w:t>Spacers are more effective</w:t>
      </w:r>
      <w:r w:rsidR="00B565E3" w:rsidRPr="00A559DE">
        <w:rPr>
          <w:sz w:val="24"/>
          <w:szCs w:val="24"/>
          <w:lang w:val="en-GB"/>
        </w:rPr>
        <w:t xml:space="preserve"> as well as less infection risk. </w:t>
      </w:r>
    </w:p>
    <w:p w:rsidR="00676CCF" w:rsidRPr="00C63099" w:rsidRDefault="00676CCF" w:rsidP="00977739">
      <w:pPr>
        <w:pStyle w:val="ListParagraph"/>
        <w:numPr>
          <w:ilvl w:val="0"/>
          <w:numId w:val="2"/>
        </w:numPr>
        <w:ind w:left="714" w:hanging="357"/>
        <w:contextualSpacing w:val="0"/>
        <w:jc w:val="both"/>
        <w:rPr>
          <w:sz w:val="24"/>
          <w:szCs w:val="24"/>
        </w:rPr>
      </w:pPr>
      <w:r w:rsidRPr="00C63099">
        <w:rPr>
          <w:sz w:val="24"/>
          <w:szCs w:val="24"/>
        </w:rPr>
        <w:t>Provide Influenza vaccine as soon as possible.</w:t>
      </w:r>
    </w:p>
    <w:p w:rsidR="00676CCF" w:rsidRPr="00C63099" w:rsidRDefault="00676CCF" w:rsidP="00977739">
      <w:pPr>
        <w:pStyle w:val="ListParagraph"/>
        <w:numPr>
          <w:ilvl w:val="0"/>
          <w:numId w:val="2"/>
        </w:numPr>
        <w:ind w:left="714" w:hanging="357"/>
        <w:contextualSpacing w:val="0"/>
        <w:jc w:val="both"/>
        <w:rPr>
          <w:sz w:val="24"/>
          <w:szCs w:val="24"/>
        </w:rPr>
      </w:pPr>
      <w:r w:rsidRPr="00C63099">
        <w:rPr>
          <w:sz w:val="24"/>
          <w:szCs w:val="24"/>
        </w:rPr>
        <w:t>Provide Pneumococcal vaccine if course not complete.</w:t>
      </w:r>
    </w:p>
    <w:p w:rsidR="003939F3" w:rsidRPr="00C63099" w:rsidRDefault="003939F3" w:rsidP="00977739">
      <w:pPr>
        <w:pStyle w:val="ListParagraph"/>
        <w:numPr>
          <w:ilvl w:val="0"/>
          <w:numId w:val="2"/>
        </w:numPr>
        <w:ind w:left="714" w:hanging="357"/>
        <w:contextualSpacing w:val="0"/>
        <w:jc w:val="both"/>
        <w:rPr>
          <w:sz w:val="24"/>
          <w:szCs w:val="24"/>
        </w:rPr>
      </w:pPr>
      <w:r w:rsidRPr="00C63099">
        <w:rPr>
          <w:sz w:val="24"/>
          <w:szCs w:val="24"/>
        </w:rPr>
        <w:t xml:space="preserve">Ensure facility has appropriate oxygen supplies and </w:t>
      </w:r>
      <w:r w:rsidR="003B76B2" w:rsidRPr="00C63099">
        <w:rPr>
          <w:sz w:val="24"/>
          <w:szCs w:val="24"/>
        </w:rPr>
        <w:t>medications in stock, including antibiotics for secondary infections and palliative care medications.</w:t>
      </w:r>
      <w:r w:rsidR="0009676C">
        <w:rPr>
          <w:sz w:val="24"/>
          <w:szCs w:val="24"/>
        </w:rPr>
        <w:t xml:space="preserve"> </w:t>
      </w:r>
      <w:r w:rsidR="0009676C" w:rsidRPr="0009676C">
        <w:rPr>
          <w:color w:val="FF0000"/>
          <w:sz w:val="18"/>
          <w:szCs w:val="18"/>
        </w:rPr>
        <w:t>(insert link to see preparing for Oxygen Therapy in RACFs)</w:t>
      </w:r>
    </w:p>
    <w:p w:rsidR="00463878" w:rsidRPr="00C63099" w:rsidRDefault="00463878" w:rsidP="00977739">
      <w:pPr>
        <w:pStyle w:val="ListParagraph"/>
        <w:numPr>
          <w:ilvl w:val="0"/>
          <w:numId w:val="2"/>
        </w:numPr>
        <w:ind w:left="714" w:hanging="357"/>
        <w:contextualSpacing w:val="0"/>
        <w:jc w:val="both"/>
        <w:rPr>
          <w:sz w:val="24"/>
          <w:szCs w:val="24"/>
        </w:rPr>
      </w:pPr>
      <w:r w:rsidRPr="00C63099">
        <w:rPr>
          <w:sz w:val="24"/>
          <w:szCs w:val="24"/>
        </w:rPr>
        <w:t>Ensure adequate supplies of Personal Protective Equipment (PPE)</w:t>
      </w:r>
      <w:r w:rsidR="00480B25" w:rsidRPr="00C63099">
        <w:rPr>
          <w:sz w:val="24"/>
          <w:szCs w:val="24"/>
        </w:rPr>
        <w:t xml:space="preserve"> by </w:t>
      </w:r>
      <w:r w:rsidRPr="00C63099">
        <w:rPr>
          <w:sz w:val="24"/>
          <w:szCs w:val="24"/>
        </w:rPr>
        <w:t>email</w:t>
      </w:r>
      <w:r w:rsidR="00480B25" w:rsidRPr="00C63099">
        <w:rPr>
          <w:sz w:val="24"/>
          <w:szCs w:val="24"/>
        </w:rPr>
        <w:t>ing</w:t>
      </w:r>
      <w:r w:rsidRPr="00C63099">
        <w:rPr>
          <w:sz w:val="24"/>
          <w:szCs w:val="24"/>
        </w:rPr>
        <w:t xml:space="preserve"> </w:t>
      </w:r>
      <w:hyperlink r:id="rId9" w:history="1">
        <w:r w:rsidRPr="00C63099">
          <w:rPr>
            <w:rStyle w:val="Hyperlink"/>
            <w:sz w:val="24"/>
            <w:szCs w:val="24"/>
          </w:rPr>
          <w:t>agedcarecovidppe@health.gov.au</w:t>
        </w:r>
      </w:hyperlink>
      <w:r w:rsidR="00C64080" w:rsidRPr="00C63099">
        <w:rPr>
          <w:rStyle w:val="Hyperlink"/>
          <w:sz w:val="24"/>
          <w:szCs w:val="24"/>
        </w:rPr>
        <w:t xml:space="preserve"> </w:t>
      </w:r>
      <w:r w:rsidR="00C64080" w:rsidRPr="00C63099">
        <w:rPr>
          <w:sz w:val="24"/>
          <w:szCs w:val="24"/>
        </w:rPr>
        <w:t>to order P</w:t>
      </w:r>
      <w:r w:rsidR="00B8508E">
        <w:rPr>
          <w:sz w:val="24"/>
          <w:szCs w:val="24"/>
        </w:rPr>
        <w:t>P</w:t>
      </w:r>
      <w:r w:rsidR="00C64080" w:rsidRPr="00C63099">
        <w:rPr>
          <w:sz w:val="24"/>
          <w:szCs w:val="24"/>
        </w:rPr>
        <w:t>E</w:t>
      </w:r>
      <w:r w:rsidR="00480B25" w:rsidRPr="00C63099">
        <w:rPr>
          <w:sz w:val="24"/>
          <w:szCs w:val="24"/>
        </w:rPr>
        <w:t xml:space="preserve">. </w:t>
      </w:r>
      <w:r w:rsidRPr="00C63099">
        <w:rPr>
          <w:sz w:val="24"/>
          <w:szCs w:val="24"/>
        </w:rPr>
        <w:t xml:space="preserve"> </w:t>
      </w:r>
      <w:r w:rsidR="00480B25" w:rsidRPr="00C63099">
        <w:rPr>
          <w:sz w:val="24"/>
          <w:szCs w:val="24"/>
        </w:rPr>
        <w:t>Priority</w:t>
      </w:r>
      <w:r w:rsidRPr="00C63099">
        <w:rPr>
          <w:sz w:val="24"/>
          <w:szCs w:val="24"/>
        </w:rPr>
        <w:t xml:space="preserve"> is given to facilities with </w:t>
      </w:r>
      <w:r w:rsidR="0014500F" w:rsidRPr="00C63099">
        <w:rPr>
          <w:sz w:val="24"/>
          <w:szCs w:val="24"/>
        </w:rPr>
        <w:t>COVID-19</w:t>
      </w:r>
      <w:r w:rsidRPr="00C63099">
        <w:rPr>
          <w:sz w:val="24"/>
          <w:szCs w:val="24"/>
        </w:rPr>
        <w:t>.</w:t>
      </w:r>
    </w:p>
    <w:p w:rsidR="00676CCF" w:rsidRPr="00C63099" w:rsidRDefault="00676CCF" w:rsidP="00977739">
      <w:pPr>
        <w:pStyle w:val="ListParagraph"/>
        <w:numPr>
          <w:ilvl w:val="0"/>
          <w:numId w:val="2"/>
        </w:numPr>
        <w:ind w:left="714" w:hanging="357"/>
        <w:contextualSpacing w:val="0"/>
        <w:jc w:val="both"/>
        <w:rPr>
          <w:sz w:val="24"/>
          <w:szCs w:val="24"/>
        </w:rPr>
      </w:pPr>
      <w:r w:rsidRPr="00C63099">
        <w:rPr>
          <w:sz w:val="24"/>
          <w:szCs w:val="24"/>
        </w:rPr>
        <w:t xml:space="preserve">Record </w:t>
      </w:r>
      <w:r w:rsidR="00B92929">
        <w:rPr>
          <w:sz w:val="24"/>
          <w:szCs w:val="24"/>
        </w:rPr>
        <w:t xml:space="preserve">daily </w:t>
      </w:r>
      <w:r w:rsidR="00480B25" w:rsidRPr="00C63099">
        <w:rPr>
          <w:sz w:val="24"/>
          <w:szCs w:val="24"/>
        </w:rPr>
        <w:t xml:space="preserve">baseline observations including </w:t>
      </w:r>
      <w:r w:rsidRPr="00C63099">
        <w:rPr>
          <w:sz w:val="24"/>
          <w:szCs w:val="24"/>
        </w:rPr>
        <w:t xml:space="preserve">O2 saturations </w:t>
      </w:r>
      <w:r w:rsidR="00480B25" w:rsidRPr="00C63099">
        <w:rPr>
          <w:sz w:val="24"/>
          <w:szCs w:val="24"/>
        </w:rPr>
        <w:t xml:space="preserve">for </w:t>
      </w:r>
      <w:r w:rsidRPr="00C63099">
        <w:rPr>
          <w:sz w:val="24"/>
          <w:szCs w:val="24"/>
        </w:rPr>
        <w:t>all residents for later comparison, if not already available. (Some patients with respiratory disease never reach 9</w:t>
      </w:r>
      <w:r w:rsidR="00097277" w:rsidRPr="00C63099">
        <w:rPr>
          <w:sz w:val="24"/>
          <w:szCs w:val="24"/>
        </w:rPr>
        <w:t>2</w:t>
      </w:r>
      <w:r w:rsidR="00884624" w:rsidRPr="00C63099">
        <w:rPr>
          <w:sz w:val="24"/>
          <w:szCs w:val="24"/>
        </w:rPr>
        <w:t>% oxygen</w:t>
      </w:r>
      <w:r w:rsidRPr="00C63099">
        <w:rPr>
          <w:sz w:val="24"/>
          <w:szCs w:val="24"/>
        </w:rPr>
        <w:t>).</w:t>
      </w:r>
    </w:p>
    <w:p w:rsidR="00676CCF" w:rsidRPr="00C63099" w:rsidRDefault="00676CCF" w:rsidP="00977739">
      <w:pPr>
        <w:pStyle w:val="ListParagraph"/>
        <w:numPr>
          <w:ilvl w:val="0"/>
          <w:numId w:val="2"/>
        </w:numPr>
        <w:ind w:left="714" w:hanging="357"/>
        <w:contextualSpacing w:val="0"/>
        <w:jc w:val="both"/>
        <w:rPr>
          <w:sz w:val="24"/>
          <w:szCs w:val="24"/>
        </w:rPr>
      </w:pPr>
      <w:r w:rsidRPr="00C63099">
        <w:rPr>
          <w:sz w:val="24"/>
          <w:szCs w:val="24"/>
        </w:rPr>
        <w:t>Actively monitor all residents</w:t>
      </w:r>
      <w:r w:rsidR="00A528EC" w:rsidRPr="00C63099">
        <w:rPr>
          <w:sz w:val="24"/>
          <w:szCs w:val="24"/>
        </w:rPr>
        <w:t>, staff and visitors</w:t>
      </w:r>
      <w:r w:rsidRPr="00C63099">
        <w:rPr>
          <w:sz w:val="24"/>
          <w:szCs w:val="24"/>
        </w:rPr>
        <w:t xml:space="preserve"> at least </w:t>
      </w:r>
      <w:r w:rsidR="00C44BB3" w:rsidRPr="00C63099">
        <w:rPr>
          <w:sz w:val="24"/>
          <w:szCs w:val="24"/>
        </w:rPr>
        <w:t xml:space="preserve">daily </w:t>
      </w:r>
      <w:r w:rsidRPr="00C63099">
        <w:rPr>
          <w:sz w:val="24"/>
          <w:szCs w:val="24"/>
        </w:rPr>
        <w:t xml:space="preserve">for fever </w:t>
      </w:r>
      <w:r w:rsidR="00C64080" w:rsidRPr="00C63099">
        <w:rPr>
          <w:sz w:val="24"/>
          <w:szCs w:val="24"/>
        </w:rPr>
        <w:t xml:space="preserve">and </w:t>
      </w:r>
      <w:r w:rsidRPr="00C63099">
        <w:rPr>
          <w:sz w:val="24"/>
          <w:szCs w:val="24"/>
        </w:rPr>
        <w:t>respiratory symptoms.</w:t>
      </w:r>
      <w:r w:rsidR="00A528EC" w:rsidRPr="00C63099">
        <w:rPr>
          <w:sz w:val="24"/>
          <w:szCs w:val="24"/>
        </w:rPr>
        <w:t xml:space="preserve"> All staff should be screened for COVID if they have these symptoms and not return to work until they have negative swab results. </w:t>
      </w:r>
    </w:p>
    <w:p w:rsidR="00C44BB3" w:rsidRPr="00C63099" w:rsidRDefault="00676CCF" w:rsidP="00977739">
      <w:pPr>
        <w:pStyle w:val="ListParagraph"/>
        <w:numPr>
          <w:ilvl w:val="0"/>
          <w:numId w:val="2"/>
        </w:numPr>
        <w:ind w:left="714" w:hanging="357"/>
        <w:contextualSpacing w:val="0"/>
        <w:jc w:val="both"/>
        <w:rPr>
          <w:sz w:val="24"/>
          <w:szCs w:val="24"/>
        </w:rPr>
      </w:pPr>
      <w:r w:rsidRPr="00C63099">
        <w:rPr>
          <w:sz w:val="24"/>
          <w:szCs w:val="24"/>
        </w:rPr>
        <w:t xml:space="preserve">Ask residents to report if they or </w:t>
      </w:r>
      <w:r w:rsidR="00C44BB3" w:rsidRPr="00C63099">
        <w:rPr>
          <w:sz w:val="24"/>
          <w:szCs w:val="24"/>
        </w:rPr>
        <w:t>other residents have respiratory sympt</w:t>
      </w:r>
      <w:r w:rsidR="00463878" w:rsidRPr="00C63099">
        <w:rPr>
          <w:sz w:val="24"/>
          <w:szCs w:val="24"/>
        </w:rPr>
        <w:t>oms.</w:t>
      </w:r>
    </w:p>
    <w:p w:rsidR="00C44BB3" w:rsidRPr="0014500F" w:rsidRDefault="0014500F" w:rsidP="00977739">
      <w:pPr>
        <w:jc w:val="both"/>
        <w:rPr>
          <w:b/>
          <w:sz w:val="28"/>
          <w:szCs w:val="28"/>
        </w:rPr>
      </w:pPr>
      <w:r w:rsidRPr="0014500F">
        <w:rPr>
          <w:b/>
          <w:sz w:val="28"/>
          <w:szCs w:val="28"/>
        </w:rPr>
        <w:t>2. Assessment</w:t>
      </w:r>
      <w:r w:rsidR="00C44BB3" w:rsidRPr="0014500F">
        <w:rPr>
          <w:b/>
          <w:sz w:val="28"/>
          <w:szCs w:val="28"/>
        </w:rPr>
        <w:t xml:space="preserve"> of Residents with </w:t>
      </w:r>
      <w:r>
        <w:rPr>
          <w:b/>
          <w:sz w:val="28"/>
          <w:szCs w:val="28"/>
        </w:rPr>
        <w:t>f</w:t>
      </w:r>
      <w:r w:rsidR="00C44BB3" w:rsidRPr="0014500F">
        <w:rPr>
          <w:b/>
          <w:sz w:val="28"/>
          <w:szCs w:val="28"/>
        </w:rPr>
        <w:t xml:space="preserve">ever and/or </w:t>
      </w:r>
      <w:r>
        <w:rPr>
          <w:b/>
          <w:sz w:val="28"/>
          <w:szCs w:val="28"/>
        </w:rPr>
        <w:t>r</w:t>
      </w:r>
      <w:r w:rsidR="00C44BB3" w:rsidRPr="0014500F">
        <w:rPr>
          <w:b/>
          <w:sz w:val="28"/>
          <w:szCs w:val="28"/>
        </w:rPr>
        <w:t xml:space="preserve">espiratory </w:t>
      </w:r>
      <w:r>
        <w:rPr>
          <w:b/>
          <w:sz w:val="28"/>
          <w:szCs w:val="28"/>
        </w:rPr>
        <w:t>s</w:t>
      </w:r>
      <w:r w:rsidR="00C44BB3" w:rsidRPr="0014500F">
        <w:rPr>
          <w:b/>
          <w:sz w:val="28"/>
          <w:szCs w:val="28"/>
        </w:rPr>
        <w:t>ymptoms</w:t>
      </w:r>
    </w:p>
    <w:p w:rsidR="00C64080" w:rsidRPr="00C63099" w:rsidRDefault="0014500F" w:rsidP="00977739">
      <w:pPr>
        <w:jc w:val="both"/>
        <w:rPr>
          <w:sz w:val="24"/>
          <w:szCs w:val="24"/>
        </w:rPr>
      </w:pPr>
      <w:r w:rsidRPr="00C63099">
        <w:rPr>
          <w:sz w:val="24"/>
          <w:szCs w:val="24"/>
        </w:rPr>
        <w:t xml:space="preserve">2.1 </w:t>
      </w:r>
      <w:r w:rsidR="00F10952">
        <w:t>COVID19 should be considered in any r</w:t>
      </w:r>
      <w:r w:rsidR="00D06EA7">
        <w:t>esident or staff member with acute respiratory illness</w:t>
      </w:r>
      <w:r w:rsidR="00F10952">
        <w:t xml:space="preserve"> or fever</w:t>
      </w:r>
      <w:r w:rsidR="00D06EA7">
        <w:t xml:space="preserve"> </w:t>
      </w:r>
      <w:r w:rsidR="00D06EA7" w:rsidRPr="00C63099">
        <w:rPr>
          <w:sz w:val="24"/>
          <w:szCs w:val="24"/>
        </w:rPr>
        <w:t>(37.5 deg C or over)</w:t>
      </w:r>
      <w:r w:rsidR="00F10952">
        <w:rPr>
          <w:sz w:val="24"/>
          <w:szCs w:val="24"/>
        </w:rPr>
        <w:t>. R</w:t>
      </w:r>
      <w:r w:rsidR="00853FD9" w:rsidRPr="00C63099">
        <w:rPr>
          <w:sz w:val="24"/>
          <w:szCs w:val="24"/>
        </w:rPr>
        <w:t>esidents</w:t>
      </w:r>
      <w:r w:rsidR="00C44BB3" w:rsidRPr="00C63099">
        <w:rPr>
          <w:sz w:val="24"/>
          <w:szCs w:val="24"/>
        </w:rPr>
        <w:t xml:space="preserve"> </w:t>
      </w:r>
      <w:r w:rsidR="003B76B2" w:rsidRPr="00C63099">
        <w:rPr>
          <w:sz w:val="24"/>
          <w:szCs w:val="24"/>
        </w:rPr>
        <w:t xml:space="preserve">(and their cohorts </w:t>
      </w:r>
      <w:proofErr w:type="spellStart"/>
      <w:r w:rsidR="003B76B2" w:rsidRPr="00C63099">
        <w:rPr>
          <w:sz w:val="24"/>
          <w:szCs w:val="24"/>
        </w:rPr>
        <w:t>ie</w:t>
      </w:r>
      <w:proofErr w:type="spellEnd"/>
      <w:r w:rsidR="003B76B2" w:rsidRPr="00C63099">
        <w:rPr>
          <w:sz w:val="24"/>
          <w:szCs w:val="24"/>
        </w:rPr>
        <w:t xml:space="preserve">. room-mates, close contacts) </w:t>
      </w:r>
      <w:r w:rsidR="00A840C3" w:rsidRPr="00C63099">
        <w:rPr>
          <w:sz w:val="24"/>
          <w:szCs w:val="24"/>
        </w:rPr>
        <w:t xml:space="preserve">require </w:t>
      </w:r>
      <w:r w:rsidRPr="00C63099">
        <w:rPr>
          <w:sz w:val="24"/>
          <w:szCs w:val="24"/>
        </w:rPr>
        <w:t xml:space="preserve">isolation </w:t>
      </w:r>
      <w:r w:rsidR="00A840C3" w:rsidRPr="00C63099">
        <w:rPr>
          <w:sz w:val="24"/>
          <w:szCs w:val="24"/>
        </w:rPr>
        <w:t xml:space="preserve">and </w:t>
      </w:r>
      <w:r w:rsidRPr="00C63099">
        <w:rPr>
          <w:sz w:val="24"/>
          <w:szCs w:val="24"/>
        </w:rPr>
        <w:t>COVID</w:t>
      </w:r>
      <w:r w:rsidR="00A840C3" w:rsidRPr="00C63099">
        <w:rPr>
          <w:sz w:val="24"/>
          <w:szCs w:val="24"/>
        </w:rPr>
        <w:t xml:space="preserve">-19 infection control procedures until result of swabs are known. </w:t>
      </w:r>
    </w:p>
    <w:p w:rsidR="00B8508E" w:rsidRDefault="00B8508E">
      <w:pPr>
        <w:rPr>
          <w:b/>
          <w:sz w:val="24"/>
          <w:szCs w:val="24"/>
        </w:rPr>
      </w:pPr>
      <w:r>
        <w:rPr>
          <w:b/>
          <w:sz w:val="24"/>
          <w:szCs w:val="24"/>
        </w:rPr>
        <w:br w:type="page"/>
      </w:r>
    </w:p>
    <w:p w:rsidR="00C64080" w:rsidRPr="00C63099" w:rsidRDefault="00BE1A11" w:rsidP="00074436">
      <w:pPr>
        <w:spacing w:after="0"/>
        <w:jc w:val="both"/>
        <w:rPr>
          <w:b/>
          <w:i/>
          <w:sz w:val="24"/>
          <w:szCs w:val="24"/>
        </w:rPr>
      </w:pPr>
      <w:r w:rsidRPr="00C63099">
        <w:rPr>
          <w:b/>
          <w:sz w:val="24"/>
          <w:szCs w:val="24"/>
        </w:rPr>
        <w:lastRenderedPageBreak/>
        <w:t xml:space="preserve">2.2 Swab Collection – </w:t>
      </w:r>
      <w:r w:rsidRPr="00C63099">
        <w:rPr>
          <w:i/>
          <w:sz w:val="24"/>
          <w:szCs w:val="24"/>
        </w:rPr>
        <w:t xml:space="preserve">refer to </w:t>
      </w:r>
      <w:r w:rsidRPr="00C63099">
        <w:rPr>
          <w:rFonts w:cstheme="minorHAnsi"/>
          <w:i/>
          <w:sz w:val="24"/>
          <w:szCs w:val="24"/>
        </w:rPr>
        <w:t xml:space="preserve">National Guidelines </w:t>
      </w:r>
      <w:r w:rsidRPr="00C63099">
        <w:rPr>
          <w:i/>
          <w:sz w:val="24"/>
          <w:szCs w:val="24"/>
        </w:rPr>
        <w:t>Coronavirus Disease 2019 (COVID-19) Outbreaks in Residential Care Facilities Appendix 4.</w:t>
      </w:r>
    </w:p>
    <w:p w:rsidR="00175B2F" w:rsidRDefault="00ED6C5B" w:rsidP="00074436">
      <w:pPr>
        <w:spacing w:after="120"/>
        <w:jc w:val="both"/>
      </w:pPr>
      <w:r w:rsidRPr="00C63099">
        <w:rPr>
          <w:sz w:val="24"/>
          <w:szCs w:val="24"/>
        </w:rPr>
        <w:t>R</w:t>
      </w:r>
      <w:r w:rsidR="00853FD9" w:rsidRPr="00C63099">
        <w:rPr>
          <w:sz w:val="24"/>
          <w:szCs w:val="24"/>
        </w:rPr>
        <w:t>esidents</w:t>
      </w:r>
      <w:r w:rsidR="00A840C3" w:rsidRPr="00C63099">
        <w:rPr>
          <w:sz w:val="24"/>
          <w:szCs w:val="24"/>
        </w:rPr>
        <w:t xml:space="preserve"> require a </w:t>
      </w:r>
      <w:r w:rsidR="00D06EA7">
        <w:rPr>
          <w:sz w:val="24"/>
          <w:szCs w:val="24"/>
        </w:rPr>
        <w:t xml:space="preserve">single </w:t>
      </w:r>
      <w:r w:rsidR="00A840C3" w:rsidRPr="00C63099">
        <w:rPr>
          <w:sz w:val="24"/>
          <w:szCs w:val="24"/>
        </w:rPr>
        <w:t xml:space="preserve">combined oropharyngeal and nasopharyngeal swab for </w:t>
      </w:r>
      <w:r w:rsidR="00853FD9" w:rsidRPr="00C63099">
        <w:rPr>
          <w:sz w:val="24"/>
          <w:szCs w:val="24"/>
        </w:rPr>
        <w:t>SARS-COV-2</w:t>
      </w:r>
      <w:r w:rsidR="00A840C3" w:rsidRPr="00C63099">
        <w:rPr>
          <w:sz w:val="24"/>
          <w:szCs w:val="24"/>
        </w:rPr>
        <w:t xml:space="preserve"> and Influenza, </w:t>
      </w:r>
      <w:r w:rsidR="00D06EA7">
        <w:rPr>
          <w:sz w:val="24"/>
          <w:szCs w:val="24"/>
        </w:rPr>
        <w:t xml:space="preserve">collected </w:t>
      </w:r>
      <w:r w:rsidR="00A840C3" w:rsidRPr="00C63099">
        <w:rPr>
          <w:sz w:val="24"/>
          <w:szCs w:val="24"/>
        </w:rPr>
        <w:t xml:space="preserve">using standard </w:t>
      </w:r>
      <w:r w:rsidR="00D06EA7">
        <w:rPr>
          <w:sz w:val="24"/>
          <w:szCs w:val="24"/>
        </w:rPr>
        <w:t xml:space="preserve">and </w:t>
      </w:r>
      <w:r w:rsidR="00A840C3" w:rsidRPr="00C63099">
        <w:rPr>
          <w:sz w:val="24"/>
          <w:szCs w:val="24"/>
        </w:rPr>
        <w:t>droplet precautions, recommended PPE, and recommended technique</w:t>
      </w:r>
      <w:r w:rsidR="00853FD9" w:rsidRPr="00C63099">
        <w:rPr>
          <w:sz w:val="24"/>
          <w:szCs w:val="24"/>
        </w:rPr>
        <w:t xml:space="preserve"> (oropharyngeal followed by nasopharyngeal </w:t>
      </w:r>
      <w:r w:rsidR="00853FD9" w:rsidRPr="00A559DE">
        <w:rPr>
          <w:sz w:val="24"/>
          <w:szCs w:val="24"/>
        </w:rPr>
        <w:t>with the same swab</w:t>
      </w:r>
      <w:r w:rsidR="00853FD9" w:rsidRPr="00C63099">
        <w:rPr>
          <w:sz w:val="24"/>
          <w:szCs w:val="24"/>
        </w:rPr>
        <w:t>)</w:t>
      </w:r>
      <w:r w:rsidR="00175B2F" w:rsidRPr="00C63099">
        <w:rPr>
          <w:sz w:val="24"/>
          <w:szCs w:val="24"/>
        </w:rPr>
        <w:t>.</w:t>
      </w:r>
      <w:r w:rsidR="00175B2F">
        <w:t xml:space="preserve"> </w:t>
      </w:r>
      <w:r w:rsidR="00175B2F" w:rsidRPr="00884624">
        <w:rPr>
          <w:rStyle w:val="Hyperlink"/>
          <w:rFonts w:ascii="Arial" w:hAnsi="Arial" w:cs="Arial"/>
          <w:sz w:val="20"/>
          <w:szCs w:val="20"/>
          <w:lang w:val="en"/>
        </w:rPr>
        <w:t>NEJM Procedure: Collection of Nasopharyngeal Specimens</w:t>
      </w:r>
      <w:r w:rsidR="00175B2F">
        <w:t xml:space="preserve"> </w:t>
      </w:r>
    </w:p>
    <w:p w:rsidR="00A840C3" w:rsidRPr="00C63099" w:rsidRDefault="00A840C3" w:rsidP="00074436">
      <w:pPr>
        <w:spacing w:after="120"/>
        <w:jc w:val="both"/>
        <w:rPr>
          <w:sz w:val="24"/>
          <w:szCs w:val="24"/>
        </w:rPr>
      </w:pPr>
      <w:r w:rsidRPr="00C63099">
        <w:rPr>
          <w:sz w:val="24"/>
          <w:szCs w:val="24"/>
        </w:rPr>
        <w:t xml:space="preserve">Sputum </w:t>
      </w:r>
      <w:r w:rsidR="00DC6786" w:rsidRPr="00C63099">
        <w:rPr>
          <w:sz w:val="24"/>
          <w:szCs w:val="24"/>
        </w:rPr>
        <w:t xml:space="preserve">testing </w:t>
      </w:r>
      <w:r w:rsidR="00C64080" w:rsidRPr="00C63099">
        <w:rPr>
          <w:sz w:val="24"/>
          <w:szCs w:val="24"/>
        </w:rPr>
        <w:t xml:space="preserve">to </w:t>
      </w:r>
      <w:r w:rsidRPr="00C63099">
        <w:rPr>
          <w:sz w:val="24"/>
          <w:szCs w:val="24"/>
        </w:rPr>
        <w:t>be done</w:t>
      </w:r>
      <w:r w:rsidR="00C64080" w:rsidRPr="00C63099">
        <w:rPr>
          <w:sz w:val="24"/>
          <w:szCs w:val="24"/>
        </w:rPr>
        <w:t xml:space="preserve"> if the lower tract is involved</w:t>
      </w:r>
      <w:r w:rsidRPr="00C63099">
        <w:rPr>
          <w:sz w:val="24"/>
          <w:szCs w:val="24"/>
        </w:rPr>
        <w:t xml:space="preserve"> but require</w:t>
      </w:r>
      <w:r w:rsidR="00C64080" w:rsidRPr="00C63099">
        <w:rPr>
          <w:sz w:val="24"/>
          <w:szCs w:val="24"/>
        </w:rPr>
        <w:t>s</w:t>
      </w:r>
      <w:r w:rsidRPr="00C63099">
        <w:rPr>
          <w:sz w:val="24"/>
          <w:szCs w:val="24"/>
        </w:rPr>
        <w:t xml:space="preserve"> special care</w:t>
      </w:r>
      <w:r w:rsidR="00175B2F" w:rsidRPr="00C63099">
        <w:rPr>
          <w:sz w:val="24"/>
          <w:szCs w:val="24"/>
        </w:rPr>
        <w:t xml:space="preserve"> and does not add much clinical information</w:t>
      </w:r>
      <w:r w:rsidRPr="00C63099">
        <w:rPr>
          <w:sz w:val="24"/>
          <w:szCs w:val="24"/>
        </w:rPr>
        <w:t xml:space="preserve">. It would be safest if sputum can be coughed up into a jar with the staff member at a </w:t>
      </w:r>
      <w:r w:rsidR="00853FD9" w:rsidRPr="00C63099">
        <w:rPr>
          <w:sz w:val="24"/>
          <w:szCs w:val="24"/>
        </w:rPr>
        <w:t>distance</w:t>
      </w:r>
      <w:r w:rsidR="00C64080" w:rsidRPr="00C63099">
        <w:rPr>
          <w:sz w:val="24"/>
          <w:szCs w:val="24"/>
        </w:rPr>
        <w:t xml:space="preserve"> </w:t>
      </w:r>
    </w:p>
    <w:p w:rsidR="00853FD9" w:rsidRPr="00C63099" w:rsidRDefault="00A840C3" w:rsidP="00074436">
      <w:pPr>
        <w:spacing w:after="120"/>
        <w:jc w:val="both"/>
        <w:rPr>
          <w:sz w:val="24"/>
          <w:szCs w:val="24"/>
        </w:rPr>
      </w:pPr>
      <w:r w:rsidRPr="00C63099">
        <w:rPr>
          <w:sz w:val="24"/>
          <w:szCs w:val="24"/>
        </w:rPr>
        <w:t>Request forms and labelled swabs and jar should be prepared beforehand and bags ready.</w:t>
      </w:r>
    </w:p>
    <w:p w:rsidR="00853FD9" w:rsidRPr="00C63099" w:rsidRDefault="00853FD9" w:rsidP="00977739">
      <w:pPr>
        <w:jc w:val="both"/>
        <w:rPr>
          <w:sz w:val="24"/>
          <w:szCs w:val="24"/>
        </w:rPr>
      </w:pPr>
      <w:r w:rsidRPr="00C63099">
        <w:rPr>
          <w:sz w:val="24"/>
          <w:szCs w:val="24"/>
        </w:rPr>
        <w:t xml:space="preserve">Double gloving and double bagging are recommended to keep outside of specimen bags “clean”, and immediate phone call to pathology made to arrange pick-up. </w:t>
      </w:r>
      <w:r w:rsidR="00C63099">
        <w:rPr>
          <w:sz w:val="24"/>
          <w:szCs w:val="24"/>
        </w:rPr>
        <w:t>P</w:t>
      </w:r>
      <w:r w:rsidRPr="00C63099">
        <w:rPr>
          <w:sz w:val="24"/>
          <w:szCs w:val="24"/>
        </w:rPr>
        <w:t>athology laboratories will pick up tests but not do them.</w:t>
      </w:r>
    </w:p>
    <w:p w:rsidR="00C64080" w:rsidRPr="00C63099" w:rsidRDefault="00A61244" w:rsidP="00074436">
      <w:pPr>
        <w:spacing w:after="0"/>
        <w:jc w:val="both"/>
        <w:rPr>
          <w:sz w:val="24"/>
          <w:szCs w:val="24"/>
        </w:rPr>
      </w:pPr>
      <w:r w:rsidRPr="00C63099">
        <w:rPr>
          <w:sz w:val="24"/>
          <w:szCs w:val="24"/>
        </w:rPr>
        <w:t xml:space="preserve">On the pathology form, </w:t>
      </w:r>
      <w:r w:rsidR="00BE1A11" w:rsidRPr="00C63099">
        <w:rPr>
          <w:sz w:val="24"/>
          <w:szCs w:val="24"/>
        </w:rPr>
        <w:t xml:space="preserve">include the </w:t>
      </w:r>
      <w:r w:rsidR="00BE1A11" w:rsidRPr="00C63099">
        <w:rPr>
          <w:rFonts w:eastAsia="Calibri" w:cstheme="minorHAnsi"/>
          <w:sz w:val="24"/>
          <w:szCs w:val="24"/>
          <w:lang w:eastAsia="en-AU"/>
        </w:rPr>
        <w:t>facility name</w:t>
      </w:r>
      <w:r w:rsidR="00BE1A11" w:rsidRPr="00C63099">
        <w:rPr>
          <w:sz w:val="24"/>
          <w:szCs w:val="24"/>
        </w:rPr>
        <w:t xml:space="preserve"> and request </w:t>
      </w:r>
      <w:r w:rsidRPr="00C63099">
        <w:rPr>
          <w:sz w:val="24"/>
          <w:szCs w:val="24"/>
        </w:rPr>
        <w:t xml:space="preserve">that the </w:t>
      </w:r>
      <w:r w:rsidR="00853FD9" w:rsidRPr="00C63099">
        <w:rPr>
          <w:sz w:val="24"/>
          <w:szCs w:val="24"/>
        </w:rPr>
        <w:t>result</w:t>
      </w:r>
      <w:r w:rsidRPr="00C63099">
        <w:rPr>
          <w:sz w:val="24"/>
          <w:szCs w:val="24"/>
        </w:rPr>
        <w:t>s</w:t>
      </w:r>
      <w:r w:rsidR="00853FD9" w:rsidRPr="00C63099">
        <w:rPr>
          <w:sz w:val="24"/>
          <w:szCs w:val="24"/>
        </w:rPr>
        <w:t xml:space="preserve"> </w:t>
      </w:r>
      <w:r w:rsidRPr="00C63099">
        <w:rPr>
          <w:sz w:val="24"/>
          <w:szCs w:val="24"/>
        </w:rPr>
        <w:t xml:space="preserve">go to </w:t>
      </w:r>
      <w:r w:rsidR="00BE1A11" w:rsidRPr="00C63099">
        <w:rPr>
          <w:rFonts w:eastAsia="Calibri" w:cstheme="minorHAnsi"/>
          <w:sz w:val="24"/>
          <w:szCs w:val="24"/>
          <w:lang w:eastAsia="en-AU"/>
        </w:rPr>
        <w:t xml:space="preserve">facility </w:t>
      </w:r>
      <w:r w:rsidR="00853FD9" w:rsidRPr="00C63099">
        <w:rPr>
          <w:sz w:val="24"/>
          <w:szCs w:val="24"/>
        </w:rPr>
        <w:t xml:space="preserve">management and other doctors involved in care. </w:t>
      </w:r>
      <w:r w:rsidR="00BE1A11" w:rsidRPr="00C63099">
        <w:rPr>
          <w:sz w:val="24"/>
          <w:szCs w:val="24"/>
        </w:rPr>
        <w:t xml:space="preserve">Population Health Unit (PHU) </w:t>
      </w:r>
      <w:r w:rsidR="00853FD9" w:rsidRPr="00C63099">
        <w:rPr>
          <w:sz w:val="24"/>
          <w:szCs w:val="24"/>
        </w:rPr>
        <w:t xml:space="preserve">should be informed direct by pathology, </w:t>
      </w:r>
      <w:r w:rsidR="00884624" w:rsidRPr="00C63099">
        <w:rPr>
          <w:sz w:val="24"/>
          <w:szCs w:val="24"/>
        </w:rPr>
        <w:t>and</w:t>
      </w:r>
      <w:r w:rsidR="00853FD9" w:rsidRPr="00C63099">
        <w:rPr>
          <w:sz w:val="24"/>
          <w:szCs w:val="24"/>
        </w:rPr>
        <w:t xml:space="preserve"> can be </w:t>
      </w:r>
      <w:r w:rsidR="00C64080" w:rsidRPr="00C63099">
        <w:rPr>
          <w:sz w:val="24"/>
          <w:szCs w:val="24"/>
        </w:rPr>
        <w:t xml:space="preserve">contacted on </w:t>
      </w:r>
    </w:p>
    <w:p w:rsidR="00C64080" w:rsidRPr="00C63099" w:rsidRDefault="00C64080" w:rsidP="00977739">
      <w:pPr>
        <w:pStyle w:val="ListParagraph"/>
        <w:numPr>
          <w:ilvl w:val="0"/>
          <w:numId w:val="3"/>
        </w:numPr>
        <w:jc w:val="both"/>
        <w:rPr>
          <w:sz w:val="24"/>
          <w:szCs w:val="24"/>
        </w:rPr>
      </w:pPr>
      <w:r w:rsidRPr="00C63099">
        <w:rPr>
          <w:sz w:val="24"/>
          <w:szCs w:val="24"/>
        </w:rPr>
        <w:t xml:space="preserve">Tamworth and Area Communicable Disease Team – </w:t>
      </w:r>
      <w:proofErr w:type="spellStart"/>
      <w:r w:rsidRPr="00C63099">
        <w:rPr>
          <w:sz w:val="24"/>
          <w:szCs w:val="24"/>
        </w:rPr>
        <w:t>ph</w:t>
      </w:r>
      <w:proofErr w:type="spellEnd"/>
      <w:r w:rsidRPr="00C63099">
        <w:rPr>
          <w:sz w:val="24"/>
          <w:szCs w:val="24"/>
        </w:rPr>
        <w:t xml:space="preserve"> 6764 8000</w:t>
      </w:r>
    </w:p>
    <w:p w:rsidR="00C64080" w:rsidRPr="00C63099" w:rsidRDefault="00C64080" w:rsidP="00977739">
      <w:pPr>
        <w:pStyle w:val="ListParagraph"/>
        <w:numPr>
          <w:ilvl w:val="0"/>
          <w:numId w:val="3"/>
        </w:numPr>
        <w:jc w:val="both"/>
        <w:rPr>
          <w:sz w:val="24"/>
          <w:szCs w:val="24"/>
        </w:rPr>
      </w:pPr>
      <w:r w:rsidRPr="00C63099">
        <w:rPr>
          <w:sz w:val="24"/>
          <w:szCs w:val="24"/>
        </w:rPr>
        <w:t xml:space="preserve">Newcastle Communicable Disease Team – </w:t>
      </w:r>
      <w:proofErr w:type="spellStart"/>
      <w:r w:rsidRPr="00C63099">
        <w:rPr>
          <w:sz w:val="24"/>
          <w:szCs w:val="24"/>
        </w:rPr>
        <w:t>ph</w:t>
      </w:r>
      <w:proofErr w:type="spellEnd"/>
      <w:r w:rsidRPr="00C63099">
        <w:rPr>
          <w:sz w:val="24"/>
          <w:szCs w:val="24"/>
        </w:rPr>
        <w:t xml:space="preserve"> 4924 6477</w:t>
      </w:r>
    </w:p>
    <w:p w:rsidR="00BE1A11" w:rsidRPr="00C63099" w:rsidRDefault="00C64080" w:rsidP="00977739">
      <w:pPr>
        <w:pStyle w:val="ListParagraph"/>
        <w:numPr>
          <w:ilvl w:val="0"/>
          <w:numId w:val="3"/>
        </w:numPr>
        <w:jc w:val="both"/>
        <w:rPr>
          <w:sz w:val="24"/>
          <w:szCs w:val="24"/>
        </w:rPr>
      </w:pPr>
      <w:r w:rsidRPr="00C63099">
        <w:rPr>
          <w:sz w:val="24"/>
          <w:szCs w:val="24"/>
        </w:rPr>
        <w:t xml:space="preserve">Taree Communicable Disease Team – </w:t>
      </w:r>
      <w:proofErr w:type="spellStart"/>
      <w:r w:rsidRPr="00C63099">
        <w:rPr>
          <w:sz w:val="24"/>
          <w:szCs w:val="24"/>
        </w:rPr>
        <w:t>ph</w:t>
      </w:r>
      <w:proofErr w:type="spellEnd"/>
      <w:r w:rsidRPr="00C63099">
        <w:rPr>
          <w:sz w:val="24"/>
          <w:szCs w:val="24"/>
        </w:rPr>
        <w:t xml:space="preserve"> 6515 1853 </w:t>
      </w:r>
    </w:p>
    <w:p w:rsidR="00853FD9" w:rsidRPr="00C63099" w:rsidRDefault="00853FD9" w:rsidP="00977739">
      <w:pPr>
        <w:pStyle w:val="ListParagraph"/>
        <w:numPr>
          <w:ilvl w:val="0"/>
          <w:numId w:val="3"/>
        </w:numPr>
        <w:jc w:val="both"/>
        <w:rPr>
          <w:sz w:val="24"/>
          <w:szCs w:val="24"/>
        </w:rPr>
      </w:pPr>
      <w:r w:rsidRPr="00C63099">
        <w:rPr>
          <w:sz w:val="24"/>
          <w:szCs w:val="24"/>
        </w:rPr>
        <w:t>1300 066</w:t>
      </w:r>
      <w:r w:rsidR="003939F3" w:rsidRPr="00C63099">
        <w:rPr>
          <w:sz w:val="24"/>
          <w:szCs w:val="24"/>
        </w:rPr>
        <w:t xml:space="preserve"> 055.</w:t>
      </w:r>
    </w:p>
    <w:p w:rsidR="00853FD9" w:rsidRPr="00C63099" w:rsidRDefault="00BE1A11" w:rsidP="00977739">
      <w:pPr>
        <w:jc w:val="both"/>
        <w:rPr>
          <w:sz w:val="24"/>
          <w:szCs w:val="24"/>
        </w:rPr>
      </w:pPr>
      <w:r w:rsidRPr="00C63099">
        <w:rPr>
          <w:b/>
          <w:sz w:val="24"/>
          <w:szCs w:val="24"/>
        </w:rPr>
        <w:t>2.2 If</w:t>
      </w:r>
      <w:r w:rsidR="00853FD9" w:rsidRPr="00C63099">
        <w:rPr>
          <w:b/>
          <w:sz w:val="24"/>
          <w:szCs w:val="24"/>
        </w:rPr>
        <w:t xml:space="preserve"> Influenza is suspected</w:t>
      </w:r>
      <w:r w:rsidR="00D06EA7">
        <w:rPr>
          <w:sz w:val="24"/>
          <w:szCs w:val="24"/>
        </w:rPr>
        <w:t xml:space="preserve"> </w:t>
      </w:r>
      <w:r w:rsidR="00853FD9" w:rsidRPr="00C63099">
        <w:rPr>
          <w:sz w:val="24"/>
          <w:szCs w:val="24"/>
        </w:rPr>
        <w:t xml:space="preserve">oseltamivir (Tamiflu) can be </w:t>
      </w:r>
      <w:r w:rsidR="00A559DE">
        <w:rPr>
          <w:sz w:val="24"/>
          <w:szCs w:val="24"/>
        </w:rPr>
        <w:t>offered</w:t>
      </w:r>
      <w:r w:rsidR="00853FD9" w:rsidRPr="00C63099">
        <w:rPr>
          <w:sz w:val="24"/>
          <w:szCs w:val="24"/>
        </w:rPr>
        <w:t xml:space="preserve"> within </w:t>
      </w:r>
      <w:r w:rsidR="00463878" w:rsidRPr="00C63099">
        <w:rPr>
          <w:sz w:val="24"/>
          <w:szCs w:val="24"/>
        </w:rPr>
        <w:t>48</w:t>
      </w:r>
      <w:r w:rsidR="00853FD9" w:rsidRPr="00C63099">
        <w:rPr>
          <w:sz w:val="24"/>
          <w:szCs w:val="24"/>
        </w:rPr>
        <w:t xml:space="preserve"> hours and stopped if Influenza negative</w:t>
      </w:r>
      <w:r w:rsidR="00A559DE">
        <w:rPr>
          <w:sz w:val="24"/>
          <w:szCs w:val="24"/>
        </w:rPr>
        <w:t xml:space="preserve"> (Non PBS cost approximately $50</w:t>
      </w:r>
      <w:proofErr w:type="gramStart"/>
      <w:r w:rsidR="00A559DE">
        <w:rPr>
          <w:sz w:val="24"/>
          <w:szCs w:val="24"/>
        </w:rPr>
        <w:t xml:space="preserve">) </w:t>
      </w:r>
      <w:r w:rsidR="00853FD9" w:rsidRPr="00C63099">
        <w:rPr>
          <w:sz w:val="24"/>
          <w:szCs w:val="24"/>
        </w:rPr>
        <w:t>.</w:t>
      </w:r>
      <w:proofErr w:type="gramEnd"/>
    </w:p>
    <w:p w:rsidR="003939F3" w:rsidRDefault="003939F3" w:rsidP="00977739">
      <w:pPr>
        <w:jc w:val="both"/>
      </w:pPr>
      <w:r w:rsidRPr="00C63099">
        <w:rPr>
          <w:sz w:val="24"/>
          <w:szCs w:val="24"/>
        </w:rPr>
        <w:t>If Covid-19 is st</w:t>
      </w:r>
      <w:r w:rsidR="00463878" w:rsidRPr="00C63099">
        <w:rPr>
          <w:sz w:val="24"/>
          <w:szCs w:val="24"/>
        </w:rPr>
        <w:t>ill</w:t>
      </w:r>
      <w:r w:rsidRPr="00C63099">
        <w:rPr>
          <w:sz w:val="24"/>
          <w:szCs w:val="24"/>
        </w:rPr>
        <w:t xml:space="preserve"> </w:t>
      </w:r>
      <w:r w:rsidR="00D06EA7">
        <w:rPr>
          <w:sz w:val="24"/>
          <w:szCs w:val="24"/>
        </w:rPr>
        <w:t xml:space="preserve">strongly </w:t>
      </w:r>
      <w:r w:rsidRPr="00C63099">
        <w:rPr>
          <w:sz w:val="24"/>
          <w:szCs w:val="24"/>
        </w:rPr>
        <w:t xml:space="preserve">suspected on clinical grounds </w:t>
      </w:r>
      <w:r w:rsidR="00463878" w:rsidRPr="00C63099">
        <w:rPr>
          <w:sz w:val="24"/>
          <w:szCs w:val="24"/>
        </w:rPr>
        <w:t xml:space="preserve">dry cough, fever, muscular pains </w:t>
      </w:r>
      <w:r w:rsidRPr="00C63099">
        <w:rPr>
          <w:sz w:val="24"/>
          <w:szCs w:val="24"/>
        </w:rPr>
        <w:t xml:space="preserve">but the swab comes back negative, </w:t>
      </w:r>
      <w:r w:rsidR="0094021F" w:rsidRPr="00C63099">
        <w:rPr>
          <w:sz w:val="24"/>
          <w:szCs w:val="24"/>
        </w:rPr>
        <w:t xml:space="preserve">consideration should be given for repeating the swab as the first result may be a false negative. </w:t>
      </w:r>
      <w:r w:rsidR="00E953FD" w:rsidRPr="00C63099">
        <w:rPr>
          <w:sz w:val="24"/>
          <w:szCs w:val="24"/>
        </w:rPr>
        <w:t xml:space="preserve">If GPs are unsure about repeating swabs, contact </w:t>
      </w:r>
      <w:r w:rsidR="002A7486" w:rsidRPr="00C63099">
        <w:rPr>
          <w:sz w:val="24"/>
          <w:szCs w:val="24"/>
        </w:rPr>
        <w:t>ACE</w:t>
      </w:r>
      <w:r w:rsidR="00A559DE">
        <w:rPr>
          <w:sz w:val="24"/>
          <w:szCs w:val="24"/>
        </w:rPr>
        <w:t>, PHU</w:t>
      </w:r>
      <w:r w:rsidR="002A7486" w:rsidRPr="00C63099">
        <w:rPr>
          <w:sz w:val="24"/>
          <w:szCs w:val="24"/>
        </w:rPr>
        <w:t xml:space="preserve"> or infectious disease specialist </w:t>
      </w:r>
      <w:r w:rsidR="00E953FD" w:rsidRPr="00C63099">
        <w:rPr>
          <w:sz w:val="24"/>
          <w:szCs w:val="24"/>
        </w:rPr>
        <w:t xml:space="preserve">for </w:t>
      </w:r>
      <w:r w:rsidR="00592FB9" w:rsidRPr="00C63099">
        <w:rPr>
          <w:sz w:val="24"/>
          <w:szCs w:val="24"/>
        </w:rPr>
        <w:t xml:space="preserve">further </w:t>
      </w:r>
      <w:r w:rsidR="00E953FD" w:rsidRPr="00C63099">
        <w:rPr>
          <w:sz w:val="24"/>
          <w:szCs w:val="24"/>
        </w:rPr>
        <w:t>advice</w:t>
      </w:r>
      <w:r w:rsidR="00E953FD">
        <w:t xml:space="preserve">. </w:t>
      </w:r>
    </w:p>
    <w:p w:rsidR="003939F3" w:rsidRPr="00C63099" w:rsidRDefault="00CC013B" w:rsidP="00977739">
      <w:pPr>
        <w:jc w:val="both"/>
        <w:rPr>
          <w:sz w:val="24"/>
          <w:szCs w:val="24"/>
        </w:rPr>
      </w:pPr>
      <w:r w:rsidRPr="00C63099">
        <w:rPr>
          <w:sz w:val="24"/>
          <w:szCs w:val="24"/>
        </w:rPr>
        <w:t xml:space="preserve">2.3 </w:t>
      </w:r>
      <w:r w:rsidRPr="00C63099">
        <w:rPr>
          <w:b/>
          <w:sz w:val="24"/>
          <w:szCs w:val="24"/>
        </w:rPr>
        <w:t>Exacerbations of existing conditions</w:t>
      </w:r>
      <w:r w:rsidRPr="00C63099">
        <w:rPr>
          <w:sz w:val="24"/>
          <w:szCs w:val="24"/>
        </w:rPr>
        <w:t>. The</w:t>
      </w:r>
      <w:r w:rsidR="003939F3" w:rsidRPr="00C63099">
        <w:rPr>
          <w:sz w:val="24"/>
          <w:szCs w:val="24"/>
        </w:rPr>
        <w:t xml:space="preserve"> usual differential diagnosis and management of cough and shortness of breath still apply. Influenza, infective exacerbation of asthma or COPD, bronchitis, bacterial and aspiration pneumonia and CCF may be present and need the usual management.  However, C</w:t>
      </w:r>
      <w:r w:rsidR="0094021F" w:rsidRPr="00C63099">
        <w:rPr>
          <w:sz w:val="24"/>
          <w:szCs w:val="24"/>
        </w:rPr>
        <w:t>OVID</w:t>
      </w:r>
      <w:r w:rsidR="003939F3" w:rsidRPr="00C63099">
        <w:rPr>
          <w:sz w:val="24"/>
          <w:szCs w:val="24"/>
        </w:rPr>
        <w:t xml:space="preserve">-19 may coexist with them and/or provoke </w:t>
      </w:r>
      <w:r w:rsidRPr="00C63099">
        <w:rPr>
          <w:sz w:val="24"/>
          <w:szCs w:val="24"/>
        </w:rPr>
        <w:t>exacerbations</w:t>
      </w:r>
      <w:r w:rsidR="003939F3" w:rsidRPr="00C63099">
        <w:rPr>
          <w:sz w:val="24"/>
          <w:szCs w:val="24"/>
        </w:rPr>
        <w:t>.</w:t>
      </w:r>
    </w:p>
    <w:p w:rsidR="003B76B2" w:rsidRPr="00C63099" w:rsidRDefault="003939F3" w:rsidP="00074436">
      <w:pPr>
        <w:spacing w:after="0"/>
        <w:jc w:val="both"/>
        <w:rPr>
          <w:b/>
          <w:sz w:val="24"/>
          <w:szCs w:val="24"/>
        </w:rPr>
      </w:pPr>
      <w:r w:rsidRPr="00C63099">
        <w:rPr>
          <w:b/>
          <w:sz w:val="24"/>
          <w:szCs w:val="24"/>
        </w:rPr>
        <w:t>3.</w:t>
      </w:r>
      <w:r w:rsidR="003B76B2" w:rsidRPr="00C63099">
        <w:rPr>
          <w:b/>
          <w:sz w:val="24"/>
          <w:szCs w:val="24"/>
        </w:rPr>
        <w:t xml:space="preserve"> </w:t>
      </w:r>
      <w:r w:rsidR="00D06EA7">
        <w:rPr>
          <w:b/>
          <w:sz w:val="24"/>
          <w:szCs w:val="24"/>
        </w:rPr>
        <w:t xml:space="preserve">Infection control measures </w:t>
      </w:r>
      <w:r w:rsidR="003B76B2" w:rsidRPr="00C63099">
        <w:rPr>
          <w:b/>
          <w:sz w:val="24"/>
          <w:szCs w:val="24"/>
        </w:rPr>
        <w:t>of SARS-COV-2 Positive Patients</w:t>
      </w:r>
    </w:p>
    <w:p w:rsidR="003B76B2" w:rsidRDefault="003B76B2" w:rsidP="00977739">
      <w:pPr>
        <w:jc w:val="both"/>
      </w:pPr>
      <w:r w:rsidRPr="00C63099">
        <w:rPr>
          <w:sz w:val="24"/>
          <w:szCs w:val="24"/>
        </w:rPr>
        <w:t>All suspected cases and thei</w:t>
      </w:r>
      <w:r w:rsidR="00D06EA7">
        <w:rPr>
          <w:sz w:val="24"/>
          <w:szCs w:val="24"/>
        </w:rPr>
        <w:t xml:space="preserve">r close contacts, particularly those they share a room with, </w:t>
      </w:r>
      <w:r w:rsidRPr="00C63099">
        <w:rPr>
          <w:sz w:val="24"/>
          <w:szCs w:val="24"/>
        </w:rPr>
        <w:t xml:space="preserve">must be </w:t>
      </w:r>
      <w:r w:rsidR="00A96955" w:rsidRPr="00C63099">
        <w:rPr>
          <w:sz w:val="24"/>
          <w:szCs w:val="24"/>
        </w:rPr>
        <w:t>isolated in a single room with the door closed</w:t>
      </w:r>
      <w:r w:rsidRPr="00C63099">
        <w:rPr>
          <w:sz w:val="24"/>
          <w:szCs w:val="24"/>
        </w:rPr>
        <w:t xml:space="preserve"> while awaiting results</w:t>
      </w:r>
      <w:r w:rsidR="00CC013B" w:rsidRPr="00C63099">
        <w:rPr>
          <w:sz w:val="24"/>
          <w:szCs w:val="24"/>
        </w:rPr>
        <w:t xml:space="preserve"> </w:t>
      </w:r>
      <w:r w:rsidR="00CC013B" w:rsidRPr="00A559DE">
        <w:rPr>
          <w:sz w:val="24"/>
          <w:szCs w:val="24"/>
        </w:rPr>
        <w:t>and all communal activities and meal sharing should cease.</w:t>
      </w:r>
      <w:r w:rsidR="00A96955" w:rsidRPr="00A559DE">
        <w:rPr>
          <w:sz w:val="24"/>
          <w:szCs w:val="24"/>
        </w:rPr>
        <w:t xml:space="preserve"> Healthcare workers </w:t>
      </w:r>
      <w:r w:rsidR="0094021F" w:rsidRPr="00A559DE">
        <w:rPr>
          <w:sz w:val="24"/>
          <w:szCs w:val="24"/>
        </w:rPr>
        <w:t xml:space="preserve">need </w:t>
      </w:r>
      <w:r w:rsidR="00A96955" w:rsidRPr="00A559DE">
        <w:rPr>
          <w:sz w:val="24"/>
          <w:szCs w:val="24"/>
        </w:rPr>
        <w:t xml:space="preserve">to wear surgical mask, eye </w:t>
      </w:r>
      <w:r w:rsidR="00A96955" w:rsidRPr="00C63099">
        <w:rPr>
          <w:sz w:val="24"/>
          <w:szCs w:val="24"/>
        </w:rPr>
        <w:t>protection, fluid resistant gown and gloves while providing care within &lt;2 meters of a symptomatic resident, (CEC, 2020)</w:t>
      </w:r>
      <w:r w:rsidR="00A96955">
        <w:t xml:space="preserve">. </w:t>
      </w:r>
      <w:r w:rsidR="00D06EA7">
        <w:t xml:space="preserve">The nursing home will need greatly heightened infection control for all residents during an outbreak. </w:t>
      </w:r>
    </w:p>
    <w:p w:rsidR="003B76B2" w:rsidRPr="00C63099" w:rsidRDefault="00F44942" w:rsidP="00977739">
      <w:pPr>
        <w:jc w:val="both"/>
        <w:rPr>
          <w:sz w:val="24"/>
          <w:szCs w:val="24"/>
        </w:rPr>
      </w:pPr>
      <w:r w:rsidRPr="00C63099">
        <w:rPr>
          <w:sz w:val="24"/>
          <w:szCs w:val="24"/>
        </w:rPr>
        <w:lastRenderedPageBreak/>
        <w:t>When a positive result is received</w:t>
      </w:r>
      <w:r w:rsidR="00CC013B" w:rsidRPr="00C63099">
        <w:rPr>
          <w:sz w:val="24"/>
          <w:szCs w:val="24"/>
        </w:rPr>
        <w:t xml:space="preserve">, </w:t>
      </w:r>
      <w:r w:rsidR="00977739" w:rsidRPr="00C63099">
        <w:rPr>
          <w:sz w:val="24"/>
          <w:szCs w:val="24"/>
        </w:rPr>
        <w:t xml:space="preserve">notify the appropriate authorities and </w:t>
      </w:r>
      <w:r w:rsidR="00D06EA7">
        <w:rPr>
          <w:sz w:val="24"/>
          <w:szCs w:val="24"/>
        </w:rPr>
        <w:t xml:space="preserve">seek advice on where the resident can be best managed. </w:t>
      </w:r>
      <w:r w:rsidR="00733643" w:rsidRPr="00C63099">
        <w:rPr>
          <w:sz w:val="24"/>
          <w:szCs w:val="24"/>
        </w:rPr>
        <w:t>Determine the risk versus benefit to the patient of hospital transfer. The patient needs early clinical assessment by a doctor. Understand the patient and their family’s wishes. If hospital care is</w:t>
      </w:r>
      <w:r w:rsidR="00A559DE">
        <w:rPr>
          <w:sz w:val="24"/>
          <w:szCs w:val="24"/>
        </w:rPr>
        <w:t xml:space="preserve"> thought to </w:t>
      </w:r>
      <w:proofErr w:type="gramStart"/>
      <w:r w:rsidR="00A559DE">
        <w:rPr>
          <w:sz w:val="24"/>
          <w:szCs w:val="24"/>
        </w:rPr>
        <w:t xml:space="preserve">be </w:t>
      </w:r>
      <w:r w:rsidR="00733643" w:rsidRPr="00C63099">
        <w:rPr>
          <w:sz w:val="24"/>
          <w:szCs w:val="24"/>
        </w:rPr>
        <w:t xml:space="preserve"> required</w:t>
      </w:r>
      <w:proofErr w:type="gramEnd"/>
      <w:r w:rsidR="00733643" w:rsidRPr="00C63099">
        <w:rPr>
          <w:sz w:val="24"/>
          <w:szCs w:val="24"/>
        </w:rPr>
        <w:t xml:space="preserve"> </w:t>
      </w:r>
      <w:r w:rsidR="00A559DE">
        <w:rPr>
          <w:sz w:val="24"/>
          <w:szCs w:val="24"/>
        </w:rPr>
        <w:t xml:space="preserve">please call the GP, or if not available </w:t>
      </w:r>
      <w:r w:rsidR="00D06EA7" w:rsidRPr="00A559DE">
        <w:rPr>
          <w:sz w:val="24"/>
          <w:szCs w:val="24"/>
        </w:rPr>
        <w:t xml:space="preserve">call the ACE service </w:t>
      </w:r>
      <w:r w:rsidR="00634565" w:rsidRPr="00A559DE">
        <w:rPr>
          <w:sz w:val="24"/>
          <w:szCs w:val="24"/>
        </w:rPr>
        <w:t xml:space="preserve">before transfer </w:t>
      </w:r>
      <w:r w:rsidR="00634565" w:rsidRPr="00D06EA7">
        <w:rPr>
          <w:sz w:val="24"/>
          <w:szCs w:val="24"/>
        </w:rPr>
        <w:t xml:space="preserve">and </w:t>
      </w:r>
      <w:r w:rsidR="00733643" w:rsidRPr="00D06EA7">
        <w:rPr>
          <w:sz w:val="24"/>
          <w:szCs w:val="24"/>
        </w:rPr>
        <w:t>please</w:t>
      </w:r>
      <w:r w:rsidR="00733643" w:rsidRPr="00C63099">
        <w:rPr>
          <w:sz w:val="24"/>
          <w:szCs w:val="24"/>
        </w:rPr>
        <w:t xml:space="preserve"> determine the patient’s goals of care particularly related to the hospital admission</w:t>
      </w:r>
      <w:r w:rsidR="00BB53F7" w:rsidRPr="00C63099">
        <w:rPr>
          <w:sz w:val="24"/>
          <w:szCs w:val="24"/>
        </w:rPr>
        <w:t xml:space="preserve"> (see page 6)</w:t>
      </w:r>
      <w:r w:rsidR="00733643" w:rsidRPr="00C63099">
        <w:rPr>
          <w:sz w:val="24"/>
          <w:szCs w:val="24"/>
        </w:rPr>
        <w:t xml:space="preserve">.  Other supports may be available in the RACF like palliative care and hospital in the home. My Emergency Doctor is a private company that is supporting NSW Ambulance for patient transfer. This service is run by Emergency Physicians interested in nursing home care. They can also assist you with clinical decision making as this is an ethically challenging decision for all clinicians. </w:t>
      </w:r>
    </w:p>
    <w:p w:rsidR="003B76B2" w:rsidRDefault="003B76B2" w:rsidP="00074436">
      <w:pPr>
        <w:spacing w:after="0"/>
        <w:jc w:val="both"/>
      </w:pPr>
      <w:r w:rsidRPr="00A96955">
        <w:rPr>
          <w:b/>
        </w:rPr>
        <w:t xml:space="preserve">3.1 </w:t>
      </w:r>
      <w:r w:rsidR="00D06EA7">
        <w:rPr>
          <w:b/>
        </w:rPr>
        <w:t xml:space="preserve">Confirmed COVID-19 cases </w:t>
      </w:r>
      <w:r w:rsidRPr="00A96955">
        <w:rPr>
          <w:b/>
        </w:rPr>
        <w:t>Suitable for Facility</w:t>
      </w:r>
      <w:r w:rsidRPr="007F174B">
        <w:rPr>
          <w:b/>
        </w:rPr>
        <w:t xml:space="preserve"> Care</w:t>
      </w:r>
    </w:p>
    <w:p w:rsidR="003B76B2" w:rsidRPr="00C63099" w:rsidRDefault="003B76B2" w:rsidP="00074436">
      <w:pPr>
        <w:pStyle w:val="ListParagraph"/>
        <w:numPr>
          <w:ilvl w:val="0"/>
          <w:numId w:val="4"/>
        </w:numPr>
        <w:spacing w:after="0"/>
        <w:jc w:val="both"/>
        <w:rPr>
          <w:sz w:val="24"/>
          <w:szCs w:val="24"/>
        </w:rPr>
      </w:pPr>
      <w:r w:rsidRPr="00C63099">
        <w:rPr>
          <w:sz w:val="24"/>
          <w:szCs w:val="24"/>
        </w:rPr>
        <w:t>Patients with fever only or mild symptoms.</w:t>
      </w:r>
    </w:p>
    <w:p w:rsidR="003B76B2" w:rsidRPr="00C63099" w:rsidRDefault="00DD41EC" w:rsidP="00977739">
      <w:pPr>
        <w:pStyle w:val="ListParagraph"/>
        <w:numPr>
          <w:ilvl w:val="0"/>
          <w:numId w:val="4"/>
        </w:numPr>
        <w:jc w:val="both"/>
        <w:rPr>
          <w:sz w:val="24"/>
          <w:szCs w:val="24"/>
        </w:rPr>
      </w:pPr>
      <w:r w:rsidRPr="00C63099">
        <w:rPr>
          <w:sz w:val="24"/>
          <w:szCs w:val="24"/>
        </w:rPr>
        <w:t xml:space="preserve">Patients with moderate symptoms but </w:t>
      </w:r>
      <w:proofErr w:type="spellStart"/>
      <w:r w:rsidRPr="00C63099">
        <w:rPr>
          <w:sz w:val="24"/>
          <w:szCs w:val="24"/>
        </w:rPr>
        <w:t>haemodynamically</w:t>
      </w:r>
      <w:proofErr w:type="spellEnd"/>
      <w:r w:rsidRPr="00C63099">
        <w:rPr>
          <w:sz w:val="24"/>
          <w:szCs w:val="24"/>
        </w:rPr>
        <w:t xml:space="preserve"> stable</w:t>
      </w:r>
      <w:r w:rsidR="00733643" w:rsidRPr="00C63099">
        <w:rPr>
          <w:sz w:val="24"/>
          <w:szCs w:val="24"/>
        </w:rPr>
        <w:t xml:space="preserve"> where oxygen therapy can be provided. Morphine can assist with breathlessness</w:t>
      </w:r>
      <w:r w:rsidR="00CE6052" w:rsidRPr="00C63099">
        <w:rPr>
          <w:sz w:val="24"/>
          <w:szCs w:val="24"/>
        </w:rPr>
        <w:t xml:space="preserve"> </w:t>
      </w:r>
    </w:p>
    <w:p w:rsidR="00DD41EC" w:rsidRDefault="00DD41EC" w:rsidP="00977739">
      <w:pPr>
        <w:pStyle w:val="ListParagraph"/>
        <w:numPr>
          <w:ilvl w:val="0"/>
          <w:numId w:val="4"/>
        </w:numPr>
        <w:jc w:val="both"/>
      </w:pPr>
      <w:r w:rsidRPr="00C63099">
        <w:rPr>
          <w:sz w:val="24"/>
          <w:szCs w:val="24"/>
        </w:rPr>
        <w:t xml:space="preserve">Patients </w:t>
      </w:r>
      <w:r w:rsidR="007F0835">
        <w:rPr>
          <w:sz w:val="24"/>
          <w:szCs w:val="24"/>
        </w:rPr>
        <w:t xml:space="preserve">with an advanced care plan that requests </w:t>
      </w:r>
      <w:r w:rsidRPr="00C63099">
        <w:rPr>
          <w:sz w:val="24"/>
          <w:szCs w:val="24"/>
        </w:rPr>
        <w:t>“not for hospital transfer</w:t>
      </w:r>
      <w:r>
        <w:t>”.</w:t>
      </w:r>
    </w:p>
    <w:p w:rsidR="00DD41EC" w:rsidRPr="00B92929" w:rsidRDefault="00DD41EC" w:rsidP="00EB47CB">
      <w:pPr>
        <w:spacing w:after="120"/>
        <w:jc w:val="both"/>
        <w:rPr>
          <w:b/>
        </w:rPr>
      </w:pPr>
      <w:r w:rsidRPr="00B92929">
        <w:rPr>
          <w:b/>
        </w:rPr>
        <w:t>3.2 Patients</w:t>
      </w:r>
      <w:r w:rsidR="00C64E6F" w:rsidRPr="00B92929">
        <w:rPr>
          <w:b/>
        </w:rPr>
        <w:t xml:space="preserve"> </w:t>
      </w:r>
      <w:r w:rsidR="007F0835" w:rsidRPr="00B92929">
        <w:rPr>
          <w:b/>
        </w:rPr>
        <w:t>who may need a</w:t>
      </w:r>
      <w:r w:rsidRPr="00B92929">
        <w:rPr>
          <w:b/>
        </w:rPr>
        <w:t>dmission</w:t>
      </w:r>
      <w:r w:rsidR="007F0835" w:rsidRPr="00B92929">
        <w:rPr>
          <w:b/>
        </w:rPr>
        <w:t xml:space="preserve"> to hospital</w:t>
      </w:r>
    </w:p>
    <w:p w:rsidR="00074436" w:rsidRPr="00C63099" w:rsidRDefault="00074436" w:rsidP="00074436">
      <w:pPr>
        <w:spacing w:after="0"/>
        <w:jc w:val="both"/>
        <w:rPr>
          <w:sz w:val="24"/>
          <w:szCs w:val="24"/>
        </w:rPr>
      </w:pPr>
      <w:r w:rsidRPr="00074436">
        <w:rPr>
          <w:sz w:val="24"/>
          <w:szCs w:val="24"/>
        </w:rPr>
        <w:t xml:space="preserve">This would </w:t>
      </w:r>
      <w:r w:rsidRPr="00A559DE">
        <w:rPr>
          <w:sz w:val="24"/>
          <w:szCs w:val="24"/>
        </w:rPr>
        <w:t>not</w:t>
      </w:r>
      <w:r w:rsidRPr="00C63099">
        <w:rPr>
          <w:sz w:val="24"/>
          <w:szCs w:val="24"/>
        </w:rPr>
        <w:t xml:space="preserve"> include patients who are designated as “not for hospital” or those who have relevant treatment limitations identified in their ACP. </w:t>
      </w:r>
    </w:p>
    <w:p w:rsidR="007F0835" w:rsidRDefault="007F0835" w:rsidP="00074436">
      <w:pPr>
        <w:spacing w:after="0"/>
        <w:jc w:val="both"/>
        <w:rPr>
          <w:sz w:val="24"/>
          <w:szCs w:val="24"/>
        </w:rPr>
      </w:pPr>
      <w:r>
        <w:rPr>
          <w:sz w:val="24"/>
          <w:szCs w:val="24"/>
        </w:rPr>
        <w:t>The</w:t>
      </w:r>
      <w:r w:rsidR="00074436">
        <w:rPr>
          <w:sz w:val="24"/>
          <w:szCs w:val="24"/>
        </w:rPr>
        <w:t xml:space="preserve"> below </w:t>
      </w:r>
      <w:r>
        <w:rPr>
          <w:sz w:val="24"/>
          <w:szCs w:val="24"/>
        </w:rPr>
        <w:t>p</w:t>
      </w:r>
      <w:r w:rsidR="00733643" w:rsidRPr="00C63099">
        <w:rPr>
          <w:sz w:val="24"/>
          <w:szCs w:val="24"/>
        </w:rPr>
        <w:t xml:space="preserve">atients </w:t>
      </w:r>
      <w:r w:rsidR="00074436">
        <w:rPr>
          <w:sz w:val="24"/>
          <w:szCs w:val="24"/>
        </w:rPr>
        <w:t>would</w:t>
      </w:r>
      <w:r w:rsidR="00733643" w:rsidRPr="00C63099">
        <w:rPr>
          <w:sz w:val="24"/>
          <w:szCs w:val="24"/>
        </w:rPr>
        <w:t xml:space="preserve"> benefit from more intensive supportive care than can be delivered in the RACF due to </w:t>
      </w:r>
      <w:r w:rsidR="00074436">
        <w:rPr>
          <w:sz w:val="24"/>
          <w:szCs w:val="24"/>
        </w:rPr>
        <w:t xml:space="preserve">their </w:t>
      </w:r>
      <w:r w:rsidR="00074436" w:rsidRPr="00C63099">
        <w:rPr>
          <w:sz w:val="24"/>
          <w:szCs w:val="24"/>
        </w:rPr>
        <w:t xml:space="preserve">symptoms </w:t>
      </w:r>
      <w:r w:rsidR="00074436">
        <w:rPr>
          <w:sz w:val="24"/>
          <w:szCs w:val="24"/>
        </w:rPr>
        <w:t xml:space="preserve">being </w:t>
      </w:r>
      <w:r w:rsidR="00733643" w:rsidRPr="00C63099">
        <w:rPr>
          <w:sz w:val="24"/>
          <w:szCs w:val="24"/>
        </w:rPr>
        <w:t>difficult to manage</w:t>
      </w:r>
      <w:r w:rsidR="00074436">
        <w:rPr>
          <w:sz w:val="24"/>
          <w:szCs w:val="24"/>
        </w:rPr>
        <w:t xml:space="preserve"> </w:t>
      </w:r>
      <w:proofErr w:type="spellStart"/>
      <w:r w:rsidR="00074436">
        <w:rPr>
          <w:sz w:val="24"/>
          <w:szCs w:val="24"/>
        </w:rPr>
        <w:t>insitu</w:t>
      </w:r>
      <w:proofErr w:type="spellEnd"/>
      <w:r w:rsidR="00733643" w:rsidRPr="00C63099">
        <w:rPr>
          <w:sz w:val="24"/>
          <w:szCs w:val="24"/>
        </w:rPr>
        <w:t xml:space="preserve">. </w:t>
      </w:r>
    </w:p>
    <w:p w:rsidR="00074436" w:rsidRPr="00074436" w:rsidRDefault="00074436" w:rsidP="00074436">
      <w:pPr>
        <w:pStyle w:val="ListParagraph"/>
        <w:numPr>
          <w:ilvl w:val="0"/>
          <w:numId w:val="4"/>
        </w:numPr>
        <w:jc w:val="both"/>
        <w:rPr>
          <w:sz w:val="24"/>
          <w:szCs w:val="24"/>
        </w:rPr>
      </w:pPr>
      <w:r w:rsidRPr="00074436">
        <w:rPr>
          <w:sz w:val="24"/>
          <w:szCs w:val="24"/>
        </w:rPr>
        <w:t>Significant and increasing respiratory distress.</w:t>
      </w:r>
    </w:p>
    <w:p w:rsidR="00074436" w:rsidRPr="00074436" w:rsidRDefault="00074436" w:rsidP="00074436">
      <w:pPr>
        <w:pStyle w:val="ListParagraph"/>
        <w:numPr>
          <w:ilvl w:val="0"/>
          <w:numId w:val="4"/>
        </w:numPr>
        <w:jc w:val="both"/>
        <w:rPr>
          <w:sz w:val="24"/>
          <w:szCs w:val="24"/>
        </w:rPr>
      </w:pPr>
      <w:r w:rsidRPr="00074436">
        <w:rPr>
          <w:sz w:val="24"/>
          <w:szCs w:val="24"/>
        </w:rPr>
        <w:t>Increasing tachypnoea, especially RR &gt; 30.</w:t>
      </w:r>
    </w:p>
    <w:p w:rsidR="00074436" w:rsidRDefault="00074436" w:rsidP="00074436">
      <w:pPr>
        <w:pStyle w:val="ListParagraph"/>
        <w:numPr>
          <w:ilvl w:val="0"/>
          <w:numId w:val="4"/>
        </w:numPr>
        <w:jc w:val="both"/>
        <w:rPr>
          <w:sz w:val="24"/>
          <w:szCs w:val="24"/>
        </w:rPr>
      </w:pPr>
      <w:r w:rsidRPr="00074436">
        <w:rPr>
          <w:sz w:val="24"/>
          <w:szCs w:val="24"/>
        </w:rPr>
        <w:t>Persistent and significant drop in usual O2 saturations (&gt;10% from patie</w:t>
      </w:r>
      <w:r>
        <w:rPr>
          <w:sz w:val="24"/>
          <w:szCs w:val="24"/>
        </w:rPr>
        <w:t>nt’s baseline)</w:t>
      </w:r>
    </w:p>
    <w:p w:rsidR="00074436" w:rsidRPr="00074436" w:rsidRDefault="00074436" w:rsidP="00074436">
      <w:pPr>
        <w:pStyle w:val="ListParagraph"/>
        <w:numPr>
          <w:ilvl w:val="0"/>
          <w:numId w:val="4"/>
        </w:numPr>
        <w:jc w:val="both"/>
        <w:rPr>
          <w:sz w:val="24"/>
          <w:szCs w:val="24"/>
        </w:rPr>
      </w:pPr>
      <w:r w:rsidRPr="00074436">
        <w:rPr>
          <w:sz w:val="24"/>
          <w:szCs w:val="24"/>
        </w:rPr>
        <w:t xml:space="preserve">Signs of generalised sepsis (low BP, peripheral shutdown, decreased </w:t>
      </w:r>
      <w:r>
        <w:rPr>
          <w:sz w:val="24"/>
          <w:szCs w:val="24"/>
        </w:rPr>
        <w:t>urine output</w:t>
      </w:r>
      <w:r w:rsidRPr="00074436">
        <w:rPr>
          <w:sz w:val="24"/>
          <w:szCs w:val="24"/>
        </w:rPr>
        <w:t>, tachycardia, increased confusion and tachypnoea).</w:t>
      </w:r>
    </w:p>
    <w:p w:rsidR="00074436" w:rsidRPr="00074436" w:rsidRDefault="00074436" w:rsidP="00074436">
      <w:pPr>
        <w:pStyle w:val="ListParagraph"/>
        <w:numPr>
          <w:ilvl w:val="0"/>
          <w:numId w:val="4"/>
        </w:numPr>
        <w:jc w:val="both"/>
        <w:rPr>
          <w:sz w:val="24"/>
          <w:szCs w:val="24"/>
        </w:rPr>
      </w:pPr>
      <w:r w:rsidRPr="00074436">
        <w:rPr>
          <w:sz w:val="24"/>
          <w:szCs w:val="24"/>
        </w:rPr>
        <w:t>CXR with new opacities (not explained by CCF), nodules or lobar collapse.</w:t>
      </w:r>
    </w:p>
    <w:p w:rsidR="00074436" w:rsidRPr="00074436" w:rsidRDefault="00074436" w:rsidP="00074436">
      <w:pPr>
        <w:pStyle w:val="ListParagraph"/>
        <w:numPr>
          <w:ilvl w:val="0"/>
          <w:numId w:val="4"/>
        </w:numPr>
        <w:jc w:val="both"/>
        <w:rPr>
          <w:sz w:val="24"/>
          <w:szCs w:val="24"/>
        </w:rPr>
      </w:pPr>
      <w:r w:rsidRPr="00074436">
        <w:rPr>
          <w:sz w:val="24"/>
          <w:szCs w:val="24"/>
        </w:rPr>
        <w:t>High and rising CRP, falling platelets.</w:t>
      </w:r>
    </w:p>
    <w:p w:rsidR="00074436" w:rsidRPr="00074436" w:rsidRDefault="00074436" w:rsidP="00074436">
      <w:pPr>
        <w:pStyle w:val="ListParagraph"/>
        <w:numPr>
          <w:ilvl w:val="0"/>
          <w:numId w:val="4"/>
        </w:numPr>
        <w:jc w:val="both"/>
        <w:rPr>
          <w:sz w:val="24"/>
          <w:szCs w:val="24"/>
        </w:rPr>
      </w:pPr>
      <w:r w:rsidRPr="00074436">
        <w:rPr>
          <w:sz w:val="24"/>
          <w:szCs w:val="24"/>
        </w:rPr>
        <w:t>Signs of cardiac complications (new cardiac pain, significantly raised troponin I, increasing and uncontrolled CCF)</w:t>
      </w:r>
    </w:p>
    <w:p w:rsidR="00733643" w:rsidRPr="00C63099" w:rsidRDefault="007F0835" w:rsidP="00074436">
      <w:pPr>
        <w:spacing w:after="0"/>
        <w:jc w:val="both"/>
        <w:rPr>
          <w:sz w:val="24"/>
          <w:szCs w:val="24"/>
        </w:rPr>
      </w:pPr>
      <w:r>
        <w:rPr>
          <w:sz w:val="24"/>
          <w:szCs w:val="24"/>
        </w:rPr>
        <w:t>Important things to consider for all patients being transferred to the ED are:</w:t>
      </w:r>
    </w:p>
    <w:p w:rsidR="00733643" w:rsidRPr="00C63099" w:rsidRDefault="00733643" w:rsidP="00EB47CB">
      <w:pPr>
        <w:pStyle w:val="ListParagraph"/>
        <w:numPr>
          <w:ilvl w:val="0"/>
          <w:numId w:val="11"/>
        </w:numPr>
        <w:spacing w:after="120"/>
        <w:jc w:val="both"/>
        <w:rPr>
          <w:sz w:val="24"/>
          <w:szCs w:val="24"/>
        </w:rPr>
      </w:pPr>
      <w:r w:rsidRPr="00C63099">
        <w:rPr>
          <w:sz w:val="24"/>
          <w:szCs w:val="24"/>
        </w:rPr>
        <w:t>Advance care</w:t>
      </w:r>
      <w:r w:rsidR="007F0835">
        <w:rPr>
          <w:sz w:val="24"/>
          <w:szCs w:val="24"/>
        </w:rPr>
        <w:t xml:space="preserve"> </w:t>
      </w:r>
      <w:r w:rsidRPr="00C63099">
        <w:rPr>
          <w:sz w:val="24"/>
          <w:szCs w:val="24"/>
        </w:rPr>
        <w:t>planning wishes</w:t>
      </w:r>
      <w:r w:rsidR="007F0835">
        <w:rPr>
          <w:sz w:val="24"/>
          <w:szCs w:val="24"/>
        </w:rPr>
        <w:t>.</w:t>
      </w:r>
    </w:p>
    <w:p w:rsidR="00733643" w:rsidRPr="00C63099" w:rsidRDefault="00733643" w:rsidP="002A7486">
      <w:pPr>
        <w:pStyle w:val="ListParagraph"/>
        <w:numPr>
          <w:ilvl w:val="0"/>
          <w:numId w:val="11"/>
        </w:numPr>
        <w:jc w:val="both"/>
        <w:rPr>
          <w:sz w:val="24"/>
          <w:szCs w:val="24"/>
        </w:rPr>
      </w:pPr>
      <w:r w:rsidRPr="00C63099">
        <w:rPr>
          <w:sz w:val="24"/>
          <w:szCs w:val="24"/>
        </w:rPr>
        <w:t>Frailty and comorbid illness.</w:t>
      </w:r>
    </w:p>
    <w:p w:rsidR="00733643" w:rsidRPr="00C63099" w:rsidRDefault="00733643" w:rsidP="002A7486">
      <w:pPr>
        <w:pStyle w:val="ListParagraph"/>
        <w:numPr>
          <w:ilvl w:val="0"/>
          <w:numId w:val="11"/>
        </w:numPr>
        <w:jc w:val="both"/>
        <w:rPr>
          <w:sz w:val="24"/>
          <w:szCs w:val="24"/>
        </w:rPr>
      </w:pPr>
      <w:r w:rsidRPr="00C63099">
        <w:rPr>
          <w:sz w:val="24"/>
          <w:szCs w:val="24"/>
        </w:rPr>
        <w:t>Risks of transfer and potential benefits</w:t>
      </w:r>
      <w:r w:rsidR="00B92929">
        <w:rPr>
          <w:sz w:val="24"/>
          <w:szCs w:val="24"/>
        </w:rPr>
        <w:t xml:space="preserve"> of hospital</w:t>
      </w:r>
      <w:r w:rsidRPr="00C63099">
        <w:rPr>
          <w:sz w:val="24"/>
          <w:szCs w:val="24"/>
        </w:rPr>
        <w:t>.</w:t>
      </w:r>
    </w:p>
    <w:p w:rsidR="00B565E3" w:rsidRPr="00B565E3" w:rsidRDefault="00733643" w:rsidP="00B565E3">
      <w:pPr>
        <w:pStyle w:val="ListParagraph"/>
        <w:numPr>
          <w:ilvl w:val="0"/>
          <w:numId w:val="11"/>
        </w:numPr>
        <w:jc w:val="both"/>
        <w:rPr>
          <w:sz w:val="24"/>
          <w:szCs w:val="24"/>
        </w:rPr>
      </w:pPr>
      <w:r w:rsidRPr="00C63099">
        <w:rPr>
          <w:sz w:val="24"/>
          <w:szCs w:val="24"/>
        </w:rPr>
        <w:t>RACF capability and capacity to attend to care needs.</w:t>
      </w:r>
      <w:r w:rsidR="00B565E3">
        <w:rPr>
          <w:sz w:val="24"/>
          <w:szCs w:val="24"/>
        </w:rPr>
        <w:t xml:space="preserve"> (This will be particularly important when an outbreak occurs and requires conversations with senior hospital and nursing home staff)</w:t>
      </w:r>
    </w:p>
    <w:p w:rsidR="00733643" w:rsidRDefault="00733643" w:rsidP="00EB47CB">
      <w:pPr>
        <w:pStyle w:val="ListParagraph"/>
        <w:numPr>
          <w:ilvl w:val="0"/>
          <w:numId w:val="11"/>
        </w:numPr>
        <w:spacing w:after="120"/>
        <w:jc w:val="both"/>
        <w:rPr>
          <w:sz w:val="24"/>
          <w:szCs w:val="24"/>
        </w:rPr>
      </w:pPr>
      <w:r w:rsidRPr="00C63099">
        <w:rPr>
          <w:sz w:val="24"/>
          <w:szCs w:val="24"/>
        </w:rPr>
        <w:t xml:space="preserve">Public health </w:t>
      </w:r>
      <w:r w:rsidR="007F0835">
        <w:rPr>
          <w:sz w:val="24"/>
          <w:szCs w:val="24"/>
        </w:rPr>
        <w:t>advice</w:t>
      </w:r>
      <w:r w:rsidRPr="00C63099">
        <w:rPr>
          <w:sz w:val="24"/>
          <w:szCs w:val="24"/>
        </w:rPr>
        <w:t>.</w:t>
      </w:r>
    </w:p>
    <w:p w:rsidR="00074436" w:rsidRPr="00C63099" w:rsidRDefault="00074436" w:rsidP="00074436">
      <w:pPr>
        <w:pStyle w:val="ListParagraph"/>
        <w:spacing w:after="120"/>
        <w:jc w:val="both"/>
        <w:rPr>
          <w:sz w:val="24"/>
          <w:szCs w:val="24"/>
        </w:rPr>
      </w:pPr>
    </w:p>
    <w:p w:rsidR="00B80ABB" w:rsidRPr="00C63099" w:rsidRDefault="00B80ABB" w:rsidP="00EB47CB">
      <w:pPr>
        <w:spacing w:after="120"/>
        <w:jc w:val="both"/>
        <w:rPr>
          <w:sz w:val="24"/>
          <w:szCs w:val="24"/>
        </w:rPr>
      </w:pPr>
      <w:r w:rsidRPr="00C63099">
        <w:rPr>
          <w:sz w:val="24"/>
          <w:szCs w:val="24"/>
        </w:rPr>
        <w:lastRenderedPageBreak/>
        <w:t xml:space="preserve">NSW Health has established a </w:t>
      </w:r>
      <w:r w:rsidR="00B92929">
        <w:rPr>
          <w:sz w:val="24"/>
          <w:szCs w:val="24"/>
        </w:rPr>
        <w:t xml:space="preserve">state-wide </w:t>
      </w:r>
      <w:r w:rsidRPr="00C63099">
        <w:rPr>
          <w:sz w:val="24"/>
          <w:szCs w:val="24"/>
        </w:rPr>
        <w:t>Secondary Triage System</w:t>
      </w:r>
      <w:r w:rsidR="00B92929">
        <w:rPr>
          <w:sz w:val="24"/>
          <w:szCs w:val="24"/>
        </w:rPr>
        <w:t xml:space="preserve"> for ambulance calls for residents of nursing homes with potential COVID-19. </w:t>
      </w:r>
      <w:r w:rsidR="00B565E3">
        <w:rPr>
          <w:sz w:val="24"/>
          <w:szCs w:val="24"/>
        </w:rPr>
        <w:t>This is an</w:t>
      </w:r>
      <w:r w:rsidR="007F0835">
        <w:rPr>
          <w:sz w:val="24"/>
          <w:szCs w:val="24"/>
        </w:rPr>
        <w:t xml:space="preserve"> </w:t>
      </w:r>
      <w:r w:rsidRPr="00C63099">
        <w:rPr>
          <w:sz w:val="24"/>
          <w:szCs w:val="24"/>
        </w:rPr>
        <w:t xml:space="preserve">Emergency Physician </w:t>
      </w:r>
      <w:r w:rsidR="00B565E3">
        <w:rPr>
          <w:sz w:val="24"/>
          <w:szCs w:val="24"/>
        </w:rPr>
        <w:t xml:space="preserve">consultation service. </w:t>
      </w:r>
      <w:r w:rsidR="00B92929">
        <w:rPr>
          <w:sz w:val="24"/>
          <w:szCs w:val="24"/>
        </w:rPr>
        <w:t>The</w:t>
      </w:r>
      <w:r w:rsidR="00B565E3">
        <w:rPr>
          <w:sz w:val="24"/>
          <w:szCs w:val="24"/>
        </w:rPr>
        <w:t xml:space="preserve"> emergency physician</w:t>
      </w:r>
      <w:r w:rsidR="00B92929">
        <w:rPr>
          <w:sz w:val="24"/>
          <w:szCs w:val="24"/>
        </w:rPr>
        <w:t xml:space="preserve"> </w:t>
      </w:r>
      <w:r w:rsidRPr="00C63099">
        <w:rPr>
          <w:sz w:val="24"/>
          <w:szCs w:val="24"/>
        </w:rPr>
        <w:t xml:space="preserve">will contact the RACF for a telehealth consultation. If the patient is clinically suitable for hospital care, they will </w:t>
      </w:r>
      <w:r w:rsidR="00B92929">
        <w:rPr>
          <w:sz w:val="24"/>
          <w:szCs w:val="24"/>
        </w:rPr>
        <w:t xml:space="preserve">then </w:t>
      </w:r>
      <w:r w:rsidRPr="00C63099">
        <w:rPr>
          <w:sz w:val="24"/>
          <w:szCs w:val="24"/>
        </w:rPr>
        <w:t>be transferred to hospital for further assessment and care.</w:t>
      </w:r>
    </w:p>
    <w:p w:rsidR="00EA17B1" w:rsidRDefault="00B80ABB" w:rsidP="00EB47CB">
      <w:pPr>
        <w:spacing w:after="120"/>
        <w:jc w:val="both"/>
        <w:rPr>
          <w:sz w:val="24"/>
          <w:szCs w:val="24"/>
        </w:rPr>
      </w:pPr>
      <w:r w:rsidRPr="00C63099">
        <w:rPr>
          <w:sz w:val="24"/>
          <w:szCs w:val="24"/>
        </w:rPr>
        <w:t xml:space="preserve">The GP is always the first point of contact for medical advice </w:t>
      </w:r>
      <w:r w:rsidR="00D96713">
        <w:rPr>
          <w:sz w:val="24"/>
          <w:szCs w:val="24"/>
        </w:rPr>
        <w:t>abou</w:t>
      </w:r>
      <w:r w:rsidR="00610DB0">
        <w:rPr>
          <w:sz w:val="24"/>
          <w:szCs w:val="24"/>
        </w:rPr>
        <w:t>t</w:t>
      </w:r>
      <w:r w:rsidRPr="00C63099">
        <w:rPr>
          <w:sz w:val="24"/>
          <w:szCs w:val="24"/>
        </w:rPr>
        <w:t xml:space="preserve"> </w:t>
      </w:r>
      <w:r w:rsidR="00D96713">
        <w:rPr>
          <w:sz w:val="24"/>
          <w:szCs w:val="24"/>
        </w:rPr>
        <w:t>the resident</w:t>
      </w:r>
      <w:r w:rsidRPr="00C63099">
        <w:rPr>
          <w:sz w:val="24"/>
          <w:szCs w:val="24"/>
        </w:rPr>
        <w:t xml:space="preserve">. </w:t>
      </w:r>
      <w:r w:rsidR="007F0835">
        <w:rPr>
          <w:sz w:val="24"/>
          <w:szCs w:val="24"/>
        </w:rPr>
        <w:t xml:space="preserve">If further advice is required, particularly regarding transfer, the GP or the nursing home nursing staff can call the </w:t>
      </w:r>
      <w:hyperlink r:id="rId10" w:history="1">
        <w:r w:rsidR="007F0835" w:rsidRPr="0009676C">
          <w:rPr>
            <w:rStyle w:val="Hyperlink"/>
            <w:sz w:val="24"/>
            <w:szCs w:val="24"/>
          </w:rPr>
          <w:t>ACE service</w:t>
        </w:r>
      </w:hyperlink>
      <w:r w:rsidR="0009676C">
        <w:rPr>
          <w:sz w:val="24"/>
          <w:szCs w:val="24"/>
        </w:rPr>
        <w:t xml:space="preserve"> (</w:t>
      </w:r>
      <w:r w:rsidR="0009676C">
        <w:rPr>
          <w:rFonts w:cstheme="minorHAnsi"/>
        </w:rPr>
        <w:t>u</w:t>
      </w:r>
      <w:r w:rsidR="0009676C">
        <w:rPr>
          <w:sz w:val="24"/>
          <w:szCs w:val="24"/>
        </w:rPr>
        <w:t xml:space="preserve">sername: aged &amp; password: care Ph: </w:t>
      </w:r>
      <w:r w:rsidR="0009676C" w:rsidRPr="00516467">
        <w:rPr>
          <w:rFonts w:cstheme="minorHAnsi"/>
        </w:rPr>
        <w:t>1300 223 555</w:t>
      </w:r>
      <w:r w:rsidR="0009676C">
        <w:rPr>
          <w:rFonts w:cstheme="minorHAnsi"/>
        </w:rPr>
        <w:t>.</w:t>
      </w:r>
      <w:r w:rsidR="0009676C">
        <w:rPr>
          <w:sz w:val="24"/>
          <w:szCs w:val="24"/>
        </w:rPr>
        <w:t>)</w:t>
      </w:r>
      <w:r w:rsidR="007F0835">
        <w:rPr>
          <w:sz w:val="24"/>
          <w:szCs w:val="24"/>
        </w:rPr>
        <w:t xml:space="preserve">. </w:t>
      </w:r>
      <w:r w:rsidRPr="00C63099">
        <w:rPr>
          <w:sz w:val="24"/>
          <w:szCs w:val="24"/>
        </w:rPr>
        <w:t xml:space="preserve"> Th</w:t>
      </w:r>
      <w:r w:rsidR="00610DB0">
        <w:rPr>
          <w:sz w:val="24"/>
          <w:szCs w:val="24"/>
        </w:rPr>
        <w:t>e</w:t>
      </w:r>
      <w:r w:rsidRPr="00C63099">
        <w:rPr>
          <w:sz w:val="24"/>
          <w:szCs w:val="24"/>
        </w:rPr>
        <w:t xml:space="preserve"> ACE call will also advise the hospital in advance that the resident is being transferred from a facility where there is potential or confirmed COVID-19 (CDNA, 2020)</w:t>
      </w:r>
    </w:p>
    <w:p w:rsidR="00B92929" w:rsidRPr="00C63099" w:rsidRDefault="00B92929" w:rsidP="00EB47CB">
      <w:pPr>
        <w:spacing w:after="120"/>
        <w:jc w:val="both"/>
        <w:rPr>
          <w:sz w:val="24"/>
          <w:szCs w:val="24"/>
        </w:rPr>
      </w:pPr>
    </w:p>
    <w:p w:rsidR="00F51D37" w:rsidRDefault="00F51D37" w:rsidP="00F51D37">
      <w:pPr>
        <w:spacing w:after="120"/>
        <w:jc w:val="both"/>
      </w:pPr>
      <w:r>
        <w:t>3.</w:t>
      </w:r>
      <w:r>
        <w:rPr>
          <w:b/>
        </w:rPr>
        <w:t>3</w:t>
      </w:r>
      <w:r w:rsidRPr="002A7486">
        <w:rPr>
          <w:b/>
        </w:rPr>
        <w:t xml:space="preserve"> Patients </w:t>
      </w:r>
      <w:r>
        <w:rPr>
          <w:b/>
        </w:rPr>
        <w:t>returning from any hospital visit</w:t>
      </w:r>
    </w:p>
    <w:p w:rsidR="00F51D37" w:rsidRDefault="00F51D37" w:rsidP="00EA17B1">
      <w:pPr>
        <w:jc w:val="both"/>
        <w:rPr>
          <w:sz w:val="24"/>
          <w:szCs w:val="24"/>
        </w:rPr>
      </w:pPr>
      <w:r>
        <w:rPr>
          <w:sz w:val="24"/>
          <w:szCs w:val="24"/>
        </w:rPr>
        <w:t xml:space="preserve">Any resident that visits hospital, even for a short ED visit, must </w:t>
      </w:r>
      <w:r w:rsidR="00500D41" w:rsidRPr="00C63099">
        <w:rPr>
          <w:sz w:val="24"/>
          <w:szCs w:val="24"/>
        </w:rPr>
        <w:t>be isolated for 14-days.</w:t>
      </w:r>
      <w:r>
        <w:rPr>
          <w:sz w:val="24"/>
          <w:szCs w:val="24"/>
        </w:rPr>
        <w:t xml:space="preserve"> This includes short visits to the ED. It is important that conversations with families and/or persons responsible understand this</w:t>
      </w:r>
      <w:r w:rsidR="00B92929">
        <w:rPr>
          <w:sz w:val="24"/>
          <w:szCs w:val="24"/>
        </w:rPr>
        <w:t xml:space="preserve"> need for isolation</w:t>
      </w:r>
      <w:r>
        <w:rPr>
          <w:sz w:val="24"/>
          <w:szCs w:val="24"/>
        </w:rPr>
        <w:t xml:space="preserve">. The nursing home will need to plan for the resident </w:t>
      </w:r>
      <w:r w:rsidR="00B92929">
        <w:rPr>
          <w:sz w:val="24"/>
          <w:szCs w:val="24"/>
        </w:rPr>
        <w:t xml:space="preserve">to </w:t>
      </w:r>
      <w:r>
        <w:rPr>
          <w:sz w:val="24"/>
          <w:szCs w:val="24"/>
        </w:rPr>
        <w:t xml:space="preserve">return to a single room. </w:t>
      </w:r>
    </w:p>
    <w:p w:rsidR="00F51D37" w:rsidRDefault="00F51D37" w:rsidP="00EA17B1">
      <w:pPr>
        <w:jc w:val="both"/>
        <w:rPr>
          <w:sz w:val="24"/>
          <w:szCs w:val="24"/>
        </w:rPr>
      </w:pPr>
      <w:r>
        <w:rPr>
          <w:sz w:val="24"/>
          <w:szCs w:val="24"/>
        </w:rPr>
        <w:t xml:space="preserve">On return from </w:t>
      </w:r>
      <w:r w:rsidR="00B92929">
        <w:rPr>
          <w:sz w:val="24"/>
          <w:szCs w:val="24"/>
        </w:rPr>
        <w:t>any hospital visit a resident will</w:t>
      </w:r>
      <w:r>
        <w:rPr>
          <w:sz w:val="24"/>
          <w:szCs w:val="24"/>
        </w:rPr>
        <w:t xml:space="preserve"> need</w:t>
      </w:r>
      <w:r w:rsidR="00B92929">
        <w:rPr>
          <w:sz w:val="24"/>
          <w:szCs w:val="24"/>
        </w:rPr>
        <w:t>:</w:t>
      </w:r>
    </w:p>
    <w:p w:rsidR="00F51D37" w:rsidRDefault="00F51D37" w:rsidP="00F51D37">
      <w:pPr>
        <w:pStyle w:val="ListParagraph"/>
        <w:numPr>
          <w:ilvl w:val="0"/>
          <w:numId w:val="14"/>
        </w:numPr>
        <w:jc w:val="both"/>
        <w:rPr>
          <w:sz w:val="24"/>
          <w:szCs w:val="24"/>
        </w:rPr>
      </w:pPr>
      <w:r>
        <w:rPr>
          <w:sz w:val="24"/>
          <w:szCs w:val="24"/>
        </w:rPr>
        <w:t>A single room</w:t>
      </w:r>
    </w:p>
    <w:p w:rsidR="00F51D37" w:rsidRDefault="00F51D37" w:rsidP="00F51D37">
      <w:pPr>
        <w:pStyle w:val="ListParagraph"/>
        <w:numPr>
          <w:ilvl w:val="0"/>
          <w:numId w:val="14"/>
        </w:numPr>
        <w:jc w:val="both"/>
        <w:rPr>
          <w:sz w:val="24"/>
          <w:szCs w:val="24"/>
        </w:rPr>
      </w:pPr>
      <w:r>
        <w:rPr>
          <w:sz w:val="24"/>
          <w:szCs w:val="24"/>
        </w:rPr>
        <w:t>Regular observations at least twice daily</w:t>
      </w:r>
    </w:p>
    <w:p w:rsidR="00F51D37" w:rsidRDefault="00F51D37" w:rsidP="00F51D37">
      <w:pPr>
        <w:pStyle w:val="ListParagraph"/>
        <w:numPr>
          <w:ilvl w:val="0"/>
          <w:numId w:val="14"/>
        </w:numPr>
        <w:jc w:val="both"/>
        <w:rPr>
          <w:sz w:val="24"/>
          <w:szCs w:val="24"/>
        </w:rPr>
      </w:pPr>
      <w:r>
        <w:rPr>
          <w:sz w:val="24"/>
          <w:szCs w:val="24"/>
        </w:rPr>
        <w:t>Standard precautions.</w:t>
      </w:r>
    </w:p>
    <w:p w:rsidR="00500D41" w:rsidRPr="00F51D37" w:rsidRDefault="00F51D37" w:rsidP="00F51D37">
      <w:pPr>
        <w:jc w:val="both"/>
        <w:rPr>
          <w:sz w:val="24"/>
          <w:szCs w:val="24"/>
        </w:rPr>
      </w:pPr>
      <w:r>
        <w:rPr>
          <w:sz w:val="24"/>
          <w:szCs w:val="24"/>
        </w:rPr>
        <w:t xml:space="preserve">If they develop respiratory symptoms or fever during their 14 days of isolation, they need swabs as well as droplet infection control precautions. </w:t>
      </w:r>
    </w:p>
    <w:p w:rsidR="001F6C35" w:rsidRPr="007F174B" w:rsidRDefault="001F6C35" w:rsidP="00977739">
      <w:pPr>
        <w:jc w:val="both"/>
        <w:rPr>
          <w:b/>
          <w:sz w:val="28"/>
          <w:szCs w:val="28"/>
        </w:rPr>
      </w:pPr>
      <w:r w:rsidRPr="007F174B">
        <w:rPr>
          <w:b/>
          <w:sz w:val="28"/>
          <w:szCs w:val="28"/>
        </w:rPr>
        <w:t xml:space="preserve">4.  Further Investigation of </w:t>
      </w:r>
      <w:r w:rsidR="00C64E6F" w:rsidRPr="007F174B">
        <w:rPr>
          <w:b/>
          <w:sz w:val="28"/>
          <w:szCs w:val="28"/>
        </w:rPr>
        <w:t>COVID</w:t>
      </w:r>
      <w:r w:rsidRPr="007F174B">
        <w:rPr>
          <w:b/>
          <w:sz w:val="28"/>
          <w:szCs w:val="28"/>
        </w:rPr>
        <w:t>-19 Patients</w:t>
      </w:r>
    </w:p>
    <w:p w:rsidR="00074436" w:rsidRDefault="001F6C35" w:rsidP="00977739">
      <w:pPr>
        <w:jc w:val="both"/>
        <w:rPr>
          <w:sz w:val="24"/>
          <w:szCs w:val="24"/>
        </w:rPr>
      </w:pPr>
      <w:r w:rsidRPr="00C63099">
        <w:rPr>
          <w:sz w:val="24"/>
          <w:szCs w:val="24"/>
        </w:rPr>
        <w:t xml:space="preserve">Basic bloods will be done by pathology if designated urgent </w:t>
      </w:r>
      <w:proofErr w:type="spellStart"/>
      <w:r w:rsidRPr="00C63099">
        <w:rPr>
          <w:sz w:val="24"/>
          <w:szCs w:val="24"/>
        </w:rPr>
        <w:t>ie</w:t>
      </w:r>
      <w:proofErr w:type="spellEnd"/>
      <w:r w:rsidRPr="00C63099">
        <w:rPr>
          <w:sz w:val="24"/>
          <w:szCs w:val="24"/>
        </w:rPr>
        <w:t>. FBC, UEC, LFTs, CRP</w:t>
      </w:r>
    </w:p>
    <w:p w:rsidR="001F6C35" w:rsidRPr="00C63099" w:rsidRDefault="001F6C35" w:rsidP="00977739">
      <w:pPr>
        <w:jc w:val="both"/>
        <w:rPr>
          <w:sz w:val="24"/>
          <w:szCs w:val="24"/>
        </w:rPr>
      </w:pPr>
      <w:r w:rsidRPr="00C63099">
        <w:rPr>
          <w:sz w:val="24"/>
          <w:szCs w:val="24"/>
        </w:rPr>
        <w:t xml:space="preserve">Troponin I </w:t>
      </w:r>
      <w:r w:rsidR="0035124D" w:rsidRPr="00C63099">
        <w:rPr>
          <w:sz w:val="24"/>
          <w:szCs w:val="24"/>
        </w:rPr>
        <w:t>and ECG if cardiomyopathy or</w:t>
      </w:r>
      <w:r w:rsidR="003E1A4F" w:rsidRPr="00C63099">
        <w:rPr>
          <w:sz w:val="24"/>
          <w:szCs w:val="24"/>
        </w:rPr>
        <w:t xml:space="preserve"> cardiac</w:t>
      </w:r>
      <w:r w:rsidR="0035124D" w:rsidRPr="00C63099">
        <w:rPr>
          <w:sz w:val="24"/>
          <w:szCs w:val="24"/>
        </w:rPr>
        <w:t xml:space="preserve"> </w:t>
      </w:r>
      <w:proofErr w:type="spellStart"/>
      <w:r w:rsidR="0035124D" w:rsidRPr="00C63099">
        <w:rPr>
          <w:sz w:val="24"/>
          <w:szCs w:val="24"/>
        </w:rPr>
        <w:t>ischaemia</w:t>
      </w:r>
      <w:proofErr w:type="spellEnd"/>
      <w:r w:rsidR="0035124D" w:rsidRPr="00C63099">
        <w:rPr>
          <w:sz w:val="24"/>
          <w:szCs w:val="24"/>
        </w:rPr>
        <w:t xml:space="preserve"> suspected.</w:t>
      </w:r>
    </w:p>
    <w:p w:rsidR="003E1A4F" w:rsidRDefault="0035124D" w:rsidP="00977739">
      <w:pPr>
        <w:jc w:val="both"/>
        <w:rPr>
          <w:sz w:val="24"/>
          <w:szCs w:val="24"/>
        </w:rPr>
      </w:pPr>
      <w:r w:rsidRPr="00C63099">
        <w:rPr>
          <w:sz w:val="24"/>
          <w:szCs w:val="24"/>
        </w:rPr>
        <w:t>CXR</w:t>
      </w:r>
      <w:r w:rsidR="003E1A4F">
        <w:rPr>
          <w:sz w:val="24"/>
          <w:szCs w:val="24"/>
        </w:rPr>
        <w:t>,</w:t>
      </w:r>
      <w:r w:rsidRPr="00C63099">
        <w:rPr>
          <w:sz w:val="24"/>
          <w:szCs w:val="24"/>
        </w:rPr>
        <w:t xml:space="preserve"> if clinically indicated may be done as outpatient by some radiology companies </w:t>
      </w:r>
      <w:proofErr w:type="spellStart"/>
      <w:r w:rsidRPr="00C63099">
        <w:rPr>
          <w:sz w:val="24"/>
          <w:szCs w:val="24"/>
        </w:rPr>
        <w:t>eg.</w:t>
      </w:r>
      <w:proofErr w:type="spellEnd"/>
      <w:r w:rsidRPr="00C63099">
        <w:rPr>
          <w:sz w:val="24"/>
          <w:szCs w:val="24"/>
        </w:rPr>
        <w:t xml:space="preserve"> </w:t>
      </w:r>
    </w:p>
    <w:p w:rsidR="003E1A4F" w:rsidRDefault="0035124D" w:rsidP="00977739">
      <w:pPr>
        <w:jc w:val="both"/>
        <w:rPr>
          <w:sz w:val="24"/>
          <w:szCs w:val="24"/>
        </w:rPr>
      </w:pPr>
      <w:r w:rsidRPr="00C63099">
        <w:rPr>
          <w:sz w:val="24"/>
          <w:szCs w:val="24"/>
        </w:rPr>
        <w:t xml:space="preserve">Hunter Imaging has some isolation space and will consider on a case by case basis. </w:t>
      </w:r>
    </w:p>
    <w:p w:rsidR="0035124D" w:rsidRPr="00C63099" w:rsidRDefault="0035124D" w:rsidP="00977739">
      <w:pPr>
        <w:jc w:val="both"/>
        <w:rPr>
          <w:sz w:val="24"/>
          <w:szCs w:val="24"/>
        </w:rPr>
      </w:pPr>
      <w:r w:rsidRPr="00C63099">
        <w:rPr>
          <w:sz w:val="24"/>
          <w:szCs w:val="24"/>
        </w:rPr>
        <w:t xml:space="preserve">Compass Mobile Imaging will only </w:t>
      </w:r>
      <w:r w:rsidR="00977739" w:rsidRPr="00C63099">
        <w:rPr>
          <w:sz w:val="24"/>
          <w:szCs w:val="24"/>
        </w:rPr>
        <w:t xml:space="preserve">perform </w:t>
      </w:r>
      <w:r w:rsidRPr="00C63099">
        <w:rPr>
          <w:sz w:val="24"/>
          <w:szCs w:val="24"/>
        </w:rPr>
        <w:t>X</w:t>
      </w:r>
      <w:r w:rsidR="00977739" w:rsidRPr="00C63099">
        <w:rPr>
          <w:sz w:val="24"/>
          <w:szCs w:val="24"/>
        </w:rPr>
        <w:t>-</w:t>
      </w:r>
      <w:r w:rsidRPr="00C63099">
        <w:rPr>
          <w:sz w:val="24"/>
          <w:szCs w:val="24"/>
        </w:rPr>
        <w:t>R</w:t>
      </w:r>
      <w:r w:rsidR="00977739" w:rsidRPr="00C63099">
        <w:rPr>
          <w:sz w:val="24"/>
          <w:szCs w:val="24"/>
        </w:rPr>
        <w:t>ay</w:t>
      </w:r>
      <w:r w:rsidRPr="00C63099">
        <w:rPr>
          <w:sz w:val="24"/>
          <w:szCs w:val="24"/>
        </w:rPr>
        <w:t xml:space="preserve">s in facilities free of </w:t>
      </w:r>
      <w:r w:rsidR="00977739" w:rsidRPr="00C63099">
        <w:rPr>
          <w:sz w:val="24"/>
          <w:szCs w:val="24"/>
        </w:rPr>
        <w:t>COVID</w:t>
      </w:r>
      <w:r w:rsidRPr="00C63099">
        <w:rPr>
          <w:sz w:val="24"/>
          <w:szCs w:val="24"/>
        </w:rPr>
        <w:t>-19.</w:t>
      </w:r>
      <w:r w:rsidR="00977739" w:rsidRPr="00C63099">
        <w:rPr>
          <w:sz w:val="24"/>
          <w:szCs w:val="24"/>
        </w:rPr>
        <w:t xml:space="preserve"> There is a list of X-Ray providers on the ACE website - </w:t>
      </w:r>
      <w:hyperlink r:id="rId11" w:history="1">
        <w:r w:rsidR="00977739" w:rsidRPr="00C63099">
          <w:rPr>
            <w:rStyle w:val="Hyperlink"/>
            <w:sz w:val="24"/>
            <w:szCs w:val="24"/>
          </w:rPr>
          <w:t>COVID-19 Management</w:t>
        </w:r>
      </w:hyperlink>
      <w:r w:rsidR="00EA17B1" w:rsidRPr="00C63099">
        <w:rPr>
          <w:sz w:val="24"/>
          <w:szCs w:val="24"/>
        </w:rPr>
        <w:t xml:space="preserve">. </w:t>
      </w:r>
      <w:r w:rsidR="00845394" w:rsidRPr="00C63099">
        <w:rPr>
          <w:sz w:val="24"/>
          <w:szCs w:val="24"/>
        </w:rPr>
        <w:t xml:space="preserve">It is unlikely that private providers will perform </w:t>
      </w:r>
      <w:r w:rsidR="003E1A4F" w:rsidRPr="003E1A4F">
        <w:rPr>
          <w:sz w:val="24"/>
          <w:szCs w:val="24"/>
        </w:rPr>
        <w:t>X-rays</w:t>
      </w:r>
      <w:r w:rsidR="00845394" w:rsidRPr="00C63099">
        <w:rPr>
          <w:sz w:val="24"/>
          <w:szCs w:val="24"/>
        </w:rPr>
        <w:t xml:space="preserve"> on potentially COVID positive residents. </w:t>
      </w:r>
    </w:p>
    <w:p w:rsidR="00074436" w:rsidRDefault="00074436" w:rsidP="00977739">
      <w:pPr>
        <w:jc w:val="both"/>
        <w:rPr>
          <w:b/>
          <w:sz w:val="28"/>
          <w:szCs w:val="28"/>
        </w:rPr>
      </w:pPr>
    </w:p>
    <w:p w:rsidR="00074436" w:rsidRDefault="00074436" w:rsidP="00977739">
      <w:pPr>
        <w:jc w:val="both"/>
        <w:rPr>
          <w:b/>
          <w:sz w:val="28"/>
          <w:szCs w:val="28"/>
        </w:rPr>
      </w:pPr>
    </w:p>
    <w:p w:rsidR="00074436" w:rsidRDefault="00074436" w:rsidP="00977739">
      <w:pPr>
        <w:jc w:val="both"/>
        <w:rPr>
          <w:b/>
          <w:sz w:val="28"/>
          <w:szCs w:val="28"/>
        </w:rPr>
      </w:pPr>
    </w:p>
    <w:p w:rsidR="0035124D" w:rsidRPr="007F174B" w:rsidRDefault="0035124D" w:rsidP="00977739">
      <w:pPr>
        <w:jc w:val="both"/>
        <w:rPr>
          <w:b/>
          <w:sz w:val="28"/>
          <w:szCs w:val="28"/>
        </w:rPr>
      </w:pPr>
      <w:r w:rsidRPr="007F174B">
        <w:rPr>
          <w:b/>
          <w:sz w:val="28"/>
          <w:szCs w:val="28"/>
        </w:rPr>
        <w:lastRenderedPageBreak/>
        <w:t xml:space="preserve">5. </w:t>
      </w:r>
      <w:r w:rsidR="00C301E8">
        <w:rPr>
          <w:b/>
          <w:sz w:val="28"/>
          <w:szCs w:val="28"/>
        </w:rPr>
        <w:t>Plan</w:t>
      </w:r>
      <w:r w:rsidR="00074436">
        <w:rPr>
          <w:b/>
          <w:sz w:val="28"/>
          <w:szCs w:val="28"/>
        </w:rPr>
        <w:t>ning</w:t>
      </w:r>
      <w:r w:rsidR="00C301E8">
        <w:rPr>
          <w:b/>
          <w:sz w:val="28"/>
          <w:szCs w:val="28"/>
        </w:rPr>
        <w:t xml:space="preserve"> for</w:t>
      </w:r>
      <w:r w:rsidRPr="007F174B">
        <w:rPr>
          <w:b/>
          <w:sz w:val="28"/>
          <w:szCs w:val="28"/>
        </w:rPr>
        <w:t xml:space="preserve"> Treatment of </w:t>
      </w:r>
      <w:r w:rsidR="007F174B" w:rsidRPr="007F174B">
        <w:rPr>
          <w:b/>
          <w:sz w:val="28"/>
          <w:szCs w:val="28"/>
        </w:rPr>
        <w:t>COVID</w:t>
      </w:r>
      <w:r w:rsidRPr="007F174B">
        <w:rPr>
          <w:b/>
          <w:sz w:val="28"/>
          <w:szCs w:val="28"/>
        </w:rPr>
        <w:t>-19</w:t>
      </w:r>
      <w:r w:rsidR="00C301E8">
        <w:rPr>
          <w:b/>
          <w:sz w:val="28"/>
          <w:szCs w:val="28"/>
        </w:rPr>
        <w:t xml:space="preserve"> in facility </w:t>
      </w:r>
    </w:p>
    <w:p w:rsidR="007F174B" w:rsidRPr="00C63099" w:rsidRDefault="007F174B" w:rsidP="00977739">
      <w:pPr>
        <w:jc w:val="both"/>
        <w:rPr>
          <w:b/>
          <w:sz w:val="24"/>
          <w:szCs w:val="24"/>
        </w:rPr>
      </w:pPr>
      <w:r w:rsidRPr="00C63099">
        <w:rPr>
          <w:b/>
          <w:sz w:val="24"/>
          <w:szCs w:val="24"/>
        </w:rPr>
        <w:t xml:space="preserve">5.1 </w:t>
      </w:r>
      <w:r w:rsidR="00074436">
        <w:rPr>
          <w:b/>
          <w:sz w:val="24"/>
          <w:szCs w:val="24"/>
        </w:rPr>
        <w:t xml:space="preserve">Goals of treatment </w:t>
      </w:r>
      <w:r w:rsidRPr="00C63099">
        <w:rPr>
          <w:b/>
          <w:sz w:val="24"/>
          <w:szCs w:val="24"/>
        </w:rPr>
        <w:t xml:space="preserve"> </w:t>
      </w:r>
    </w:p>
    <w:p w:rsidR="0035124D" w:rsidRDefault="001B7A2B" w:rsidP="00977739">
      <w:pPr>
        <w:pStyle w:val="ListParagraph"/>
        <w:numPr>
          <w:ilvl w:val="0"/>
          <w:numId w:val="6"/>
        </w:numPr>
        <w:jc w:val="both"/>
        <w:rPr>
          <w:sz w:val="24"/>
          <w:szCs w:val="24"/>
        </w:rPr>
      </w:pPr>
      <w:r w:rsidRPr="00C63099">
        <w:rPr>
          <w:sz w:val="24"/>
          <w:szCs w:val="24"/>
        </w:rPr>
        <w:t>Review</w:t>
      </w:r>
      <w:r w:rsidR="0035124D" w:rsidRPr="00C63099">
        <w:rPr>
          <w:sz w:val="24"/>
          <w:szCs w:val="24"/>
        </w:rPr>
        <w:t xml:space="preserve"> patient medications and eliminate possibly unhelpful medications if possible </w:t>
      </w:r>
      <w:proofErr w:type="spellStart"/>
      <w:r w:rsidR="0035124D" w:rsidRPr="00C63099">
        <w:rPr>
          <w:sz w:val="24"/>
          <w:szCs w:val="24"/>
        </w:rPr>
        <w:t>eg.</w:t>
      </w:r>
      <w:proofErr w:type="spellEnd"/>
      <w:r w:rsidR="0035124D" w:rsidRPr="00C63099">
        <w:rPr>
          <w:sz w:val="24"/>
          <w:szCs w:val="24"/>
        </w:rPr>
        <w:t xml:space="preserve"> NSAIDS, steroids, excessive diuretics</w:t>
      </w:r>
      <w:r w:rsidR="003E1A4F">
        <w:rPr>
          <w:sz w:val="24"/>
          <w:szCs w:val="24"/>
        </w:rPr>
        <w:t>,</w:t>
      </w:r>
      <w:r w:rsidR="001D49BF">
        <w:rPr>
          <w:sz w:val="24"/>
          <w:szCs w:val="24"/>
        </w:rPr>
        <w:t xml:space="preserve"> </w:t>
      </w:r>
      <w:r w:rsidR="003E1A4F">
        <w:rPr>
          <w:sz w:val="24"/>
          <w:szCs w:val="24"/>
        </w:rPr>
        <w:t>anti-cholesterol</w:t>
      </w:r>
      <w:r w:rsidR="0035124D" w:rsidRPr="00C63099">
        <w:rPr>
          <w:sz w:val="24"/>
          <w:szCs w:val="24"/>
        </w:rPr>
        <w:t xml:space="preserve"> and anti-hypertensives. No consensus yet exists on ACE-I or ARBs.</w:t>
      </w:r>
    </w:p>
    <w:p w:rsidR="00F51D37" w:rsidRPr="00C63099" w:rsidRDefault="00F51D37" w:rsidP="00977739">
      <w:pPr>
        <w:pStyle w:val="ListParagraph"/>
        <w:numPr>
          <w:ilvl w:val="0"/>
          <w:numId w:val="6"/>
        </w:numPr>
        <w:jc w:val="both"/>
        <w:rPr>
          <w:sz w:val="24"/>
          <w:szCs w:val="24"/>
        </w:rPr>
      </w:pPr>
      <w:r>
        <w:rPr>
          <w:sz w:val="24"/>
          <w:szCs w:val="24"/>
        </w:rPr>
        <w:t>Nebulisers must not be used</w:t>
      </w:r>
    </w:p>
    <w:p w:rsidR="0035124D" w:rsidRPr="00C63099" w:rsidRDefault="0035124D" w:rsidP="00977739">
      <w:pPr>
        <w:pStyle w:val="ListParagraph"/>
        <w:numPr>
          <w:ilvl w:val="0"/>
          <w:numId w:val="6"/>
        </w:numPr>
        <w:jc w:val="both"/>
        <w:rPr>
          <w:sz w:val="24"/>
          <w:szCs w:val="24"/>
        </w:rPr>
      </w:pPr>
      <w:r w:rsidRPr="00C63099">
        <w:rPr>
          <w:sz w:val="24"/>
          <w:szCs w:val="24"/>
        </w:rPr>
        <w:t>Antipyretic of choice is</w:t>
      </w:r>
      <w:r w:rsidR="00097277" w:rsidRPr="00C63099">
        <w:rPr>
          <w:sz w:val="24"/>
          <w:szCs w:val="24"/>
        </w:rPr>
        <w:t xml:space="preserve"> paracetamol</w:t>
      </w:r>
      <w:r w:rsidRPr="00C63099">
        <w:rPr>
          <w:sz w:val="24"/>
          <w:szCs w:val="24"/>
        </w:rPr>
        <w:t xml:space="preserve">. </w:t>
      </w:r>
      <w:r w:rsidR="00845394" w:rsidRPr="00C63099">
        <w:rPr>
          <w:sz w:val="24"/>
          <w:szCs w:val="24"/>
        </w:rPr>
        <w:t xml:space="preserve">Ibuprofen should be used judiciously in this </w:t>
      </w:r>
      <w:proofErr w:type="gramStart"/>
      <w:r w:rsidR="00845394" w:rsidRPr="00C63099">
        <w:rPr>
          <w:sz w:val="24"/>
          <w:szCs w:val="24"/>
        </w:rPr>
        <w:t>high risk</w:t>
      </w:r>
      <w:proofErr w:type="gramEnd"/>
      <w:r w:rsidR="00845394" w:rsidRPr="00C63099">
        <w:rPr>
          <w:sz w:val="24"/>
          <w:szCs w:val="24"/>
        </w:rPr>
        <w:t xml:space="preserve"> group</w:t>
      </w:r>
    </w:p>
    <w:p w:rsidR="0035124D" w:rsidRPr="00C63099" w:rsidRDefault="0035124D" w:rsidP="00977739">
      <w:pPr>
        <w:pStyle w:val="ListParagraph"/>
        <w:numPr>
          <w:ilvl w:val="0"/>
          <w:numId w:val="6"/>
        </w:numPr>
        <w:jc w:val="both"/>
        <w:rPr>
          <w:sz w:val="24"/>
          <w:szCs w:val="24"/>
        </w:rPr>
      </w:pPr>
      <w:r w:rsidRPr="00C63099">
        <w:rPr>
          <w:sz w:val="24"/>
          <w:szCs w:val="24"/>
        </w:rPr>
        <w:t>Adequate oral fluids</w:t>
      </w:r>
      <w:r w:rsidR="005003BF" w:rsidRPr="00C63099">
        <w:rPr>
          <w:sz w:val="24"/>
          <w:szCs w:val="24"/>
        </w:rPr>
        <w:t>. S</w:t>
      </w:r>
      <w:r w:rsidRPr="00C63099">
        <w:rPr>
          <w:sz w:val="24"/>
          <w:szCs w:val="24"/>
        </w:rPr>
        <w:t>ubcut</w:t>
      </w:r>
      <w:r w:rsidR="005003BF" w:rsidRPr="00C63099">
        <w:rPr>
          <w:sz w:val="24"/>
          <w:szCs w:val="24"/>
        </w:rPr>
        <w:t>aneous</w:t>
      </w:r>
      <w:r w:rsidR="0094021F" w:rsidRPr="00C63099">
        <w:rPr>
          <w:sz w:val="24"/>
          <w:szCs w:val="24"/>
        </w:rPr>
        <w:t xml:space="preserve"> normal saline</w:t>
      </w:r>
      <w:r w:rsidRPr="00C63099">
        <w:rPr>
          <w:sz w:val="24"/>
          <w:szCs w:val="24"/>
        </w:rPr>
        <w:t xml:space="preserve"> </w:t>
      </w:r>
      <w:r w:rsidR="005003BF" w:rsidRPr="00C63099">
        <w:rPr>
          <w:sz w:val="24"/>
          <w:szCs w:val="24"/>
        </w:rPr>
        <w:t xml:space="preserve">could be used </w:t>
      </w:r>
      <w:r w:rsidRPr="00C63099">
        <w:rPr>
          <w:sz w:val="24"/>
          <w:szCs w:val="24"/>
        </w:rPr>
        <w:t xml:space="preserve">if </w:t>
      </w:r>
      <w:r w:rsidR="005003BF" w:rsidRPr="00C63099">
        <w:rPr>
          <w:sz w:val="24"/>
          <w:szCs w:val="24"/>
        </w:rPr>
        <w:t xml:space="preserve">patient is not drinking, clearly dehydrated </w:t>
      </w:r>
      <w:r w:rsidRPr="00C63099">
        <w:rPr>
          <w:sz w:val="24"/>
          <w:szCs w:val="24"/>
        </w:rPr>
        <w:t xml:space="preserve">and </w:t>
      </w:r>
      <w:r w:rsidR="005003BF" w:rsidRPr="00C63099">
        <w:rPr>
          <w:sz w:val="24"/>
          <w:szCs w:val="24"/>
        </w:rPr>
        <w:t xml:space="preserve">they are </w:t>
      </w:r>
      <w:r w:rsidRPr="00C63099">
        <w:rPr>
          <w:sz w:val="24"/>
          <w:szCs w:val="24"/>
        </w:rPr>
        <w:t>available</w:t>
      </w:r>
      <w:r w:rsidR="00CE6052" w:rsidRPr="00C63099">
        <w:rPr>
          <w:sz w:val="24"/>
          <w:szCs w:val="24"/>
        </w:rPr>
        <w:t xml:space="preserve"> at the ACF</w:t>
      </w:r>
      <w:r w:rsidRPr="00C63099">
        <w:rPr>
          <w:sz w:val="24"/>
          <w:szCs w:val="24"/>
        </w:rPr>
        <w:t xml:space="preserve">, but do not overload as this </w:t>
      </w:r>
      <w:r w:rsidR="005003BF" w:rsidRPr="00C63099">
        <w:rPr>
          <w:sz w:val="24"/>
          <w:szCs w:val="24"/>
        </w:rPr>
        <w:t>e</w:t>
      </w:r>
      <w:r w:rsidRPr="00C63099">
        <w:rPr>
          <w:sz w:val="24"/>
          <w:szCs w:val="24"/>
        </w:rPr>
        <w:t xml:space="preserve">xacerbates </w:t>
      </w:r>
      <w:r w:rsidR="005003BF" w:rsidRPr="00C63099">
        <w:rPr>
          <w:sz w:val="24"/>
          <w:szCs w:val="24"/>
        </w:rPr>
        <w:t xml:space="preserve">lung congestion. </w:t>
      </w:r>
      <w:r w:rsidR="00074436">
        <w:rPr>
          <w:sz w:val="24"/>
          <w:szCs w:val="24"/>
        </w:rPr>
        <w:t>Monitor fluid intake and urine output</w:t>
      </w:r>
      <w:r w:rsidR="0094021F" w:rsidRPr="00C63099">
        <w:rPr>
          <w:sz w:val="24"/>
          <w:szCs w:val="24"/>
        </w:rPr>
        <w:t xml:space="preserve">. Watch </w:t>
      </w:r>
      <w:r w:rsidR="00E828C4" w:rsidRPr="00C63099">
        <w:rPr>
          <w:sz w:val="24"/>
          <w:szCs w:val="24"/>
        </w:rPr>
        <w:t>for fluid overload</w:t>
      </w:r>
      <w:r w:rsidR="0094021F" w:rsidRPr="00C63099">
        <w:rPr>
          <w:sz w:val="24"/>
          <w:szCs w:val="24"/>
        </w:rPr>
        <w:t>. (daily weights are helpful for this)</w:t>
      </w:r>
      <w:r w:rsidR="00845394" w:rsidRPr="00C63099">
        <w:rPr>
          <w:sz w:val="24"/>
          <w:szCs w:val="24"/>
        </w:rPr>
        <w:t xml:space="preserve"> Sub-cutaneous fluids at End of Life are not recommended.  If a resident isn’t eating /drinking the outcome is very likely poor and palliation may be appropriate. </w:t>
      </w:r>
    </w:p>
    <w:p w:rsidR="0009676C" w:rsidRPr="0009676C" w:rsidRDefault="005003BF" w:rsidP="0009676C">
      <w:pPr>
        <w:pStyle w:val="ListParagraph"/>
        <w:numPr>
          <w:ilvl w:val="0"/>
          <w:numId w:val="6"/>
        </w:numPr>
        <w:jc w:val="both"/>
        <w:rPr>
          <w:sz w:val="18"/>
          <w:szCs w:val="18"/>
        </w:rPr>
      </w:pPr>
      <w:r w:rsidRPr="00C63099">
        <w:rPr>
          <w:sz w:val="24"/>
          <w:szCs w:val="24"/>
        </w:rPr>
        <w:t>Supplemental oxygen by nasal prongs to tar</w:t>
      </w:r>
      <w:r w:rsidR="0094021F" w:rsidRPr="00C63099">
        <w:rPr>
          <w:sz w:val="24"/>
          <w:szCs w:val="24"/>
        </w:rPr>
        <w:t>get 92</w:t>
      </w:r>
      <w:r w:rsidRPr="00C63099">
        <w:rPr>
          <w:sz w:val="24"/>
          <w:szCs w:val="24"/>
        </w:rPr>
        <w:t>% O2 saturation</w:t>
      </w:r>
      <w:r w:rsidR="007F174B" w:rsidRPr="00C63099">
        <w:rPr>
          <w:sz w:val="24"/>
          <w:szCs w:val="24"/>
        </w:rPr>
        <w:t xml:space="preserve"> (88 to 92% for people with COPD)</w:t>
      </w:r>
      <w:r w:rsidR="0019601A" w:rsidRPr="00C63099">
        <w:rPr>
          <w:sz w:val="24"/>
          <w:szCs w:val="24"/>
        </w:rPr>
        <w:t xml:space="preserve"> </w:t>
      </w:r>
      <w:r w:rsidRPr="00C63099">
        <w:rPr>
          <w:sz w:val="24"/>
          <w:szCs w:val="24"/>
        </w:rPr>
        <w:t>or as close to patient’s baseline as possible.</w:t>
      </w:r>
      <w:r w:rsidR="00E953FD" w:rsidRPr="00C63099">
        <w:rPr>
          <w:sz w:val="24"/>
          <w:szCs w:val="24"/>
        </w:rPr>
        <w:t xml:space="preserve"> Maximum flow of 4l/min via nasal prongs. (</w:t>
      </w:r>
      <w:proofErr w:type="spellStart"/>
      <w:r w:rsidR="00E953FD" w:rsidRPr="00C63099">
        <w:rPr>
          <w:sz w:val="24"/>
          <w:szCs w:val="24"/>
        </w:rPr>
        <w:t>aerosolisation</w:t>
      </w:r>
      <w:proofErr w:type="spellEnd"/>
      <w:r w:rsidR="00E953FD" w:rsidRPr="00C63099">
        <w:rPr>
          <w:sz w:val="24"/>
          <w:szCs w:val="24"/>
        </w:rPr>
        <w:t xml:space="preserve"> risk)</w:t>
      </w:r>
      <w:r w:rsidR="0094021F" w:rsidRPr="00C63099">
        <w:rPr>
          <w:sz w:val="24"/>
          <w:szCs w:val="24"/>
        </w:rPr>
        <w:t xml:space="preserve"> Monitor respiratory rate and Oxygen</w:t>
      </w:r>
      <w:r w:rsidRPr="00C63099">
        <w:rPr>
          <w:sz w:val="24"/>
          <w:szCs w:val="24"/>
        </w:rPr>
        <w:t xml:space="preserve"> sat</w:t>
      </w:r>
      <w:r w:rsidR="00B92929">
        <w:rPr>
          <w:sz w:val="24"/>
          <w:szCs w:val="24"/>
        </w:rPr>
        <w:t xml:space="preserve">urations </w:t>
      </w:r>
      <w:r w:rsidRPr="00C63099">
        <w:rPr>
          <w:sz w:val="24"/>
          <w:szCs w:val="24"/>
        </w:rPr>
        <w:t>in case respiratory drive is decreased in CO2 retainers.</w:t>
      </w:r>
      <w:r w:rsidR="0009676C">
        <w:rPr>
          <w:sz w:val="24"/>
          <w:szCs w:val="24"/>
        </w:rPr>
        <w:t xml:space="preserve"> </w:t>
      </w:r>
      <w:r w:rsidR="0009676C" w:rsidRPr="0009676C">
        <w:rPr>
          <w:color w:val="FF0000"/>
          <w:sz w:val="18"/>
          <w:szCs w:val="18"/>
        </w:rPr>
        <w:t>(link to be inserted</w:t>
      </w:r>
      <w:r w:rsidR="0009676C">
        <w:rPr>
          <w:color w:val="FF0000"/>
          <w:sz w:val="18"/>
          <w:szCs w:val="18"/>
        </w:rPr>
        <w:t xml:space="preserve"> to </w:t>
      </w:r>
      <w:r w:rsidR="0009676C" w:rsidRPr="0009676C">
        <w:rPr>
          <w:color w:val="FF0000"/>
          <w:sz w:val="18"/>
          <w:szCs w:val="18"/>
        </w:rPr>
        <w:t>preparing for oxygen therapy in RACFs)</w:t>
      </w:r>
    </w:p>
    <w:p w:rsidR="005003BF" w:rsidRPr="00C63099" w:rsidRDefault="005003BF" w:rsidP="00977739">
      <w:pPr>
        <w:pStyle w:val="ListParagraph"/>
        <w:numPr>
          <w:ilvl w:val="0"/>
          <w:numId w:val="6"/>
        </w:numPr>
        <w:jc w:val="both"/>
        <w:rPr>
          <w:sz w:val="24"/>
          <w:szCs w:val="24"/>
        </w:rPr>
      </w:pPr>
      <w:r w:rsidRPr="00C63099">
        <w:rPr>
          <w:sz w:val="24"/>
          <w:szCs w:val="24"/>
        </w:rPr>
        <w:t xml:space="preserve">Treatment with empiric antimicrobials to cover all likely pathogens if secondary bacterial LRTI or sepsis suspected. </w:t>
      </w:r>
      <w:r w:rsidR="0094021F" w:rsidRPr="00C63099">
        <w:rPr>
          <w:sz w:val="24"/>
          <w:szCs w:val="24"/>
        </w:rPr>
        <w:t>(</w:t>
      </w:r>
      <w:proofErr w:type="spellStart"/>
      <w:r w:rsidR="003C7B74">
        <w:fldChar w:fldCharType="begin"/>
      </w:r>
      <w:r w:rsidR="003C7B74">
        <w:instrText xml:space="preserve"> HYPERLINK "https://tgldcdp.tg.org.au.acs.hcn.com.au/viewTopic?topicfile=community-acquired-pneumonia-aged-care" </w:instrText>
      </w:r>
      <w:r w:rsidR="003C7B74">
        <w:fldChar w:fldCharType="separate"/>
      </w:r>
      <w:r w:rsidR="00960972" w:rsidRPr="000E7F30">
        <w:rPr>
          <w:rStyle w:val="Hyperlink"/>
        </w:rPr>
        <w:t>eTG</w:t>
      </w:r>
      <w:proofErr w:type="spellEnd"/>
      <w:r w:rsidR="00960972" w:rsidRPr="000E7F30">
        <w:rPr>
          <w:rStyle w:val="Hyperlink"/>
        </w:rPr>
        <w:t xml:space="preserve"> </w:t>
      </w:r>
      <w:r w:rsidR="00960972" w:rsidRPr="000E7F30">
        <w:rPr>
          <w:rStyle w:val="Hyperlink"/>
          <w:rFonts w:cs="Helvetica"/>
          <w:lang w:val="en"/>
        </w:rPr>
        <w:t>Community-acquired pneumonia in aged-care facilities</w:t>
      </w:r>
      <w:r w:rsidR="003C7B74">
        <w:rPr>
          <w:rStyle w:val="Hyperlink"/>
          <w:rFonts w:cs="Helvetica"/>
          <w:lang w:val="en"/>
        </w:rPr>
        <w:fldChar w:fldCharType="end"/>
      </w:r>
      <w:r w:rsidR="0094021F" w:rsidRPr="00C63099">
        <w:rPr>
          <w:sz w:val="24"/>
          <w:szCs w:val="24"/>
        </w:rPr>
        <w:t>)</w:t>
      </w:r>
    </w:p>
    <w:p w:rsidR="005003BF" w:rsidRPr="00C63099" w:rsidRDefault="005003BF" w:rsidP="00977739">
      <w:pPr>
        <w:pStyle w:val="ListParagraph"/>
        <w:numPr>
          <w:ilvl w:val="0"/>
          <w:numId w:val="6"/>
        </w:numPr>
        <w:jc w:val="both"/>
        <w:rPr>
          <w:sz w:val="24"/>
          <w:szCs w:val="24"/>
        </w:rPr>
      </w:pPr>
      <w:r w:rsidRPr="00C63099">
        <w:rPr>
          <w:sz w:val="24"/>
          <w:szCs w:val="24"/>
        </w:rPr>
        <w:t>Appropriate microbiology (MSU, wound swabs) in patients suspected of sepsis.</w:t>
      </w:r>
    </w:p>
    <w:p w:rsidR="0093701F" w:rsidRPr="0093701F" w:rsidRDefault="00845394" w:rsidP="00D41F4A">
      <w:pPr>
        <w:pStyle w:val="ListParagraph"/>
        <w:numPr>
          <w:ilvl w:val="0"/>
          <w:numId w:val="6"/>
        </w:numPr>
        <w:jc w:val="both"/>
        <w:rPr>
          <w:sz w:val="18"/>
          <w:szCs w:val="18"/>
        </w:rPr>
      </w:pPr>
      <w:r w:rsidRPr="0093701F">
        <w:rPr>
          <w:sz w:val="24"/>
          <w:szCs w:val="24"/>
        </w:rPr>
        <w:t>Only use</w:t>
      </w:r>
      <w:r w:rsidR="005003BF" w:rsidRPr="0093701F">
        <w:rPr>
          <w:sz w:val="24"/>
          <w:szCs w:val="24"/>
        </w:rPr>
        <w:t xml:space="preserve"> </w:t>
      </w:r>
      <w:r w:rsidR="007F19F3" w:rsidRPr="0093701F">
        <w:rPr>
          <w:sz w:val="24"/>
          <w:szCs w:val="24"/>
        </w:rPr>
        <w:t>corticosteroids for</w:t>
      </w:r>
      <w:r w:rsidR="005003BF" w:rsidRPr="0093701F">
        <w:rPr>
          <w:sz w:val="24"/>
          <w:szCs w:val="24"/>
        </w:rPr>
        <w:t xml:space="preserve"> exacerbation of asthma or COPD</w:t>
      </w:r>
      <w:r w:rsidR="0093701F" w:rsidRPr="0093701F">
        <w:t xml:space="preserve"> </w:t>
      </w:r>
      <w:r w:rsidR="0093701F">
        <w:t>or septic shock</w:t>
      </w:r>
      <w:r w:rsidR="0093701F" w:rsidRPr="0093701F">
        <w:rPr>
          <w:sz w:val="24"/>
          <w:szCs w:val="24"/>
        </w:rPr>
        <w:t xml:space="preserve"> </w:t>
      </w:r>
    </w:p>
    <w:p w:rsidR="00E828C4" w:rsidRPr="0093701F" w:rsidRDefault="00E828C4" w:rsidP="00D41F4A">
      <w:pPr>
        <w:pStyle w:val="ListParagraph"/>
        <w:numPr>
          <w:ilvl w:val="0"/>
          <w:numId w:val="6"/>
        </w:numPr>
        <w:jc w:val="both"/>
        <w:rPr>
          <w:sz w:val="18"/>
          <w:szCs w:val="18"/>
        </w:rPr>
      </w:pPr>
      <w:r w:rsidRPr="0093701F">
        <w:rPr>
          <w:sz w:val="24"/>
          <w:szCs w:val="24"/>
        </w:rPr>
        <w:t>Use inhalers/spacers</w:t>
      </w:r>
      <w:r w:rsidR="00E953FD" w:rsidRPr="0093701F">
        <w:rPr>
          <w:sz w:val="24"/>
          <w:szCs w:val="24"/>
        </w:rPr>
        <w:t xml:space="preserve">. </w:t>
      </w:r>
      <w:r w:rsidR="00E953FD" w:rsidRPr="00474C7E">
        <w:rPr>
          <w:b/>
          <w:sz w:val="24"/>
          <w:szCs w:val="24"/>
        </w:rPr>
        <w:t>Do no</w:t>
      </w:r>
      <w:r w:rsidR="00474C7E">
        <w:rPr>
          <w:b/>
          <w:sz w:val="24"/>
          <w:szCs w:val="24"/>
        </w:rPr>
        <w:t>t</w:t>
      </w:r>
      <w:r w:rsidRPr="00474C7E">
        <w:rPr>
          <w:b/>
          <w:sz w:val="24"/>
          <w:szCs w:val="24"/>
        </w:rPr>
        <w:t xml:space="preserve"> </w:t>
      </w:r>
      <w:r w:rsidR="00A46059" w:rsidRPr="00474C7E">
        <w:rPr>
          <w:b/>
          <w:sz w:val="24"/>
          <w:szCs w:val="24"/>
        </w:rPr>
        <w:t>use</w:t>
      </w:r>
      <w:r w:rsidRPr="00474C7E">
        <w:rPr>
          <w:b/>
          <w:sz w:val="24"/>
          <w:szCs w:val="24"/>
        </w:rPr>
        <w:t xml:space="preserve"> nebulisers</w:t>
      </w:r>
      <w:r w:rsidR="001D49BF" w:rsidRPr="0093701F">
        <w:rPr>
          <w:color w:val="FF0000"/>
          <w:sz w:val="18"/>
          <w:szCs w:val="18"/>
        </w:rPr>
        <w:t>.</w:t>
      </w:r>
      <w:r w:rsidR="0009676C" w:rsidRPr="0093701F">
        <w:rPr>
          <w:color w:val="FF0000"/>
          <w:sz w:val="18"/>
          <w:szCs w:val="18"/>
        </w:rPr>
        <w:t>(link to be inserted)</w:t>
      </w:r>
    </w:p>
    <w:p w:rsidR="00960972" w:rsidRPr="00F51D37" w:rsidRDefault="00E828C4" w:rsidP="00F51D37">
      <w:pPr>
        <w:pStyle w:val="ListParagraph"/>
        <w:numPr>
          <w:ilvl w:val="0"/>
          <w:numId w:val="6"/>
        </w:numPr>
        <w:jc w:val="both"/>
        <w:rPr>
          <w:b/>
        </w:rPr>
      </w:pPr>
      <w:r w:rsidRPr="00C63099">
        <w:rPr>
          <w:sz w:val="24"/>
          <w:szCs w:val="24"/>
        </w:rPr>
        <w:t xml:space="preserve">There are at this point no proven antiviral drugs. The use of </w:t>
      </w:r>
      <w:proofErr w:type="spellStart"/>
      <w:r w:rsidRPr="00C63099">
        <w:rPr>
          <w:sz w:val="24"/>
          <w:szCs w:val="24"/>
        </w:rPr>
        <w:t>Kaletra</w:t>
      </w:r>
      <w:proofErr w:type="spellEnd"/>
      <w:r w:rsidRPr="00C63099">
        <w:rPr>
          <w:sz w:val="24"/>
          <w:szCs w:val="24"/>
        </w:rPr>
        <w:t xml:space="preserve"> </w:t>
      </w:r>
      <w:r w:rsidR="0009676C" w:rsidRPr="0009676C">
        <w:rPr>
          <w:color w:val="FF0000"/>
          <w:sz w:val="18"/>
          <w:szCs w:val="18"/>
        </w:rPr>
        <w:t xml:space="preserve">(link </w:t>
      </w:r>
      <w:r w:rsidR="0009676C">
        <w:rPr>
          <w:color w:val="FF0000"/>
          <w:sz w:val="18"/>
          <w:szCs w:val="18"/>
        </w:rPr>
        <w:t xml:space="preserve">to be </w:t>
      </w:r>
      <w:r w:rsidR="0009676C" w:rsidRPr="0009676C">
        <w:rPr>
          <w:color w:val="FF0000"/>
          <w:sz w:val="18"/>
          <w:szCs w:val="18"/>
        </w:rPr>
        <w:t>inserted)</w:t>
      </w:r>
      <w:r w:rsidR="0009676C">
        <w:rPr>
          <w:color w:val="FF0000"/>
          <w:sz w:val="24"/>
          <w:szCs w:val="24"/>
        </w:rPr>
        <w:t xml:space="preserve"> </w:t>
      </w:r>
      <w:r w:rsidRPr="00C63099">
        <w:rPr>
          <w:sz w:val="24"/>
          <w:szCs w:val="24"/>
        </w:rPr>
        <w:t xml:space="preserve">and hydroxychloroquine </w:t>
      </w:r>
      <w:r w:rsidR="0009676C" w:rsidRPr="0009676C">
        <w:rPr>
          <w:color w:val="FF0000"/>
          <w:sz w:val="18"/>
          <w:szCs w:val="18"/>
        </w:rPr>
        <w:t>(link</w:t>
      </w:r>
      <w:r w:rsidR="0009676C">
        <w:rPr>
          <w:color w:val="FF0000"/>
          <w:sz w:val="18"/>
          <w:szCs w:val="18"/>
        </w:rPr>
        <w:t xml:space="preserve"> </w:t>
      </w:r>
      <w:r w:rsidR="0009676C" w:rsidRPr="0009676C">
        <w:rPr>
          <w:color w:val="FF0000"/>
          <w:sz w:val="18"/>
          <w:szCs w:val="18"/>
        </w:rPr>
        <w:t>to be inserted)</w:t>
      </w:r>
      <w:r w:rsidR="0009676C">
        <w:rPr>
          <w:color w:val="FF0000"/>
          <w:sz w:val="24"/>
          <w:szCs w:val="24"/>
        </w:rPr>
        <w:t xml:space="preserve"> </w:t>
      </w:r>
      <w:r w:rsidRPr="00C63099">
        <w:rPr>
          <w:sz w:val="24"/>
          <w:szCs w:val="24"/>
        </w:rPr>
        <w:t>is not recommended outside of clinical trials. They have significant side effects</w:t>
      </w:r>
      <w:r w:rsidR="00C63099">
        <w:rPr>
          <w:sz w:val="24"/>
          <w:szCs w:val="24"/>
        </w:rPr>
        <w:t>.</w:t>
      </w:r>
    </w:p>
    <w:p w:rsidR="00E828C4" w:rsidRPr="00C64E6F" w:rsidRDefault="00C301E8" w:rsidP="00977739">
      <w:pPr>
        <w:jc w:val="both"/>
        <w:rPr>
          <w:b/>
        </w:rPr>
      </w:pPr>
      <w:r w:rsidRPr="00C64E6F">
        <w:rPr>
          <w:b/>
        </w:rPr>
        <w:t>5.2 Complications</w:t>
      </w:r>
      <w:r w:rsidR="00E828C4" w:rsidRPr="00C64E6F">
        <w:rPr>
          <w:b/>
        </w:rPr>
        <w:t xml:space="preserve"> and concomitants to watch for and manage include:</w:t>
      </w:r>
    </w:p>
    <w:p w:rsidR="00E828C4" w:rsidRPr="00C63099" w:rsidRDefault="00E828C4" w:rsidP="00977739">
      <w:pPr>
        <w:pStyle w:val="ListParagraph"/>
        <w:numPr>
          <w:ilvl w:val="0"/>
          <w:numId w:val="7"/>
        </w:numPr>
        <w:jc w:val="both"/>
        <w:rPr>
          <w:sz w:val="24"/>
          <w:szCs w:val="24"/>
        </w:rPr>
      </w:pPr>
      <w:r w:rsidRPr="00C63099">
        <w:rPr>
          <w:sz w:val="24"/>
          <w:szCs w:val="24"/>
        </w:rPr>
        <w:t xml:space="preserve">Dehydration, </w:t>
      </w:r>
      <w:r w:rsidR="00A46059" w:rsidRPr="00C63099">
        <w:rPr>
          <w:sz w:val="24"/>
          <w:szCs w:val="24"/>
        </w:rPr>
        <w:t>acute renal failure</w:t>
      </w:r>
      <w:r w:rsidRPr="00C63099">
        <w:rPr>
          <w:sz w:val="24"/>
          <w:szCs w:val="24"/>
        </w:rPr>
        <w:t xml:space="preserve"> – </w:t>
      </w:r>
      <w:r w:rsidR="00A46059" w:rsidRPr="00C63099">
        <w:rPr>
          <w:sz w:val="24"/>
          <w:szCs w:val="24"/>
        </w:rPr>
        <w:t>strict fluid balance required. B</w:t>
      </w:r>
      <w:r w:rsidRPr="00C63099">
        <w:rPr>
          <w:sz w:val="24"/>
          <w:szCs w:val="24"/>
        </w:rPr>
        <w:t>alance fluids against overload</w:t>
      </w:r>
      <w:r w:rsidR="00080D71" w:rsidRPr="00C63099">
        <w:rPr>
          <w:sz w:val="24"/>
          <w:szCs w:val="24"/>
        </w:rPr>
        <w:t>, review diuretics, avoid nephrotoxins</w:t>
      </w:r>
    </w:p>
    <w:p w:rsidR="00080D71" w:rsidRPr="00C63099" w:rsidRDefault="00080D71" w:rsidP="00977739">
      <w:pPr>
        <w:pStyle w:val="ListParagraph"/>
        <w:numPr>
          <w:ilvl w:val="0"/>
          <w:numId w:val="7"/>
        </w:numPr>
        <w:jc w:val="both"/>
        <w:rPr>
          <w:sz w:val="24"/>
          <w:szCs w:val="24"/>
        </w:rPr>
      </w:pPr>
      <w:r w:rsidRPr="00C63099">
        <w:rPr>
          <w:sz w:val="24"/>
          <w:szCs w:val="24"/>
        </w:rPr>
        <w:t>Delirium – control fever with Panadol</w:t>
      </w:r>
      <w:r w:rsidR="00CE6052" w:rsidRPr="00C63099">
        <w:rPr>
          <w:sz w:val="24"/>
          <w:szCs w:val="24"/>
        </w:rPr>
        <w:t>;</w:t>
      </w:r>
      <w:r w:rsidRPr="00C63099">
        <w:rPr>
          <w:sz w:val="24"/>
          <w:szCs w:val="24"/>
        </w:rPr>
        <w:t xml:space="preserve"> behavioural management</w:t>
      </w:r>
      <w:r w:rsidR="00CE6052" w:rsidRPr="00C63099">
        <w:rPr>
          <w:sz w:val="24"/>
          <w:szCs w:val="24"/>
        </w:rPr>
        <w:t xml:space="preserve"> strategies;</w:t>
      </w:r>
      <w:r w:rsidRPr="00C63099">
        <w:rPr>
          <w:sz w:val="24"/>
          <w:szCs w:val="24"/>
        </w:rPr>
        <w:t xml:space="preserve"> psychotropics/anxiolytics/sedatives at lowest dose if </w:t>
      </w:r>
      <w:proofErr w:type="gramStart"/>
      <w:r w:rsidRPr="00C63099">
        <w:rPr>
          <w:sz w:val="24"/>
          <w:szCs w:val="24"/>
        </w:rPr>
        <w:t>necessary</w:t>
      </w:r>
      <w:proofErr w:type="gramEnd"/>
      <w:r w:rsidRPr="00C63099">
        <w:rPr>
          <w:sz w:val="24"/>
          <w:szCs w:val="24"/>
        </w:rPr>
        <w:t xml:space="preserve"> to relieve suffering, and prevent patient being a danger to self and others, including possible breaking of quarantine.</w:t>
      </w:r>
    </w:p>
    <w:p w:rsidR="00097277" w:rsidRPr="00C63099" w:rsidRDefault="00097277" w:rsidP="00977739">
      <w:pPr>
        <w:pStyle w:val="ListParagraph"/>
        <w:numPr>
          <w:ilvl w:val="0"/>
          <w:numId w:val="7"/>
        </w:numPr>
        <w:jc w:val="both"/>
        <w:rPr>
          <w:sz w:val="24"/>
          <w:szCs w:val="24"/>
        </w:rPr>
      </w:pPr>
      <w:r w:rsidRPr="00C63099">
        <w:rPr>
          <w:sz w:val="24"/>
          <w:szCs w:val="24"/>
        </w:rPr>
        <w:t>Hypoxia – RACFs are developing plans for urgent access to oxygen</w:t>
      </w:r>
    </w:p>
    <w:p w:rsidR="00080D71" w:rsidRPr="00C63099" w:rsidRDefault="00080D71" w:rsidP="00977739">
      <w:pPr>
        <w:pStyle w:val="ListParagraph"/>
        <w:numPr>
          <w:ilvl w:val="0"/>
          <w:numId w:val="7"/>
        </w:numPr>
        <w:jc w:val="both"/>
        <w:rPr>
          <w:sz w:val="24"/>
          <w:szCs w:val="24"/>
        </w:rPr>
      </w:pPr>
      <w:r w:rsidRPr="00C63099">
        <w:rPr>
          <w:sz w:val="24"/>
          <w:szCs w:val="24"/>
        </w:rPr>
        <w:t xml:space="preserve">CCF, </w:t>
      </w:r>
      <w:proofErr w:type="spellStart"/>
      <w:r w:rsidRPr="00C63099">
        <w:rPr>
          <w:sz w:val="24"/>
          <w:szCs w:val="24"/>
        </w:rPr>
        <w:t>Ischaemia</w:t>
      </w:r>
      <w:proofErr w:type="spellEnd"/>
      <w:r w:rsidRPr="00C63099">
        <w:rPr>
          <w:sz w:val="24"/>
          <w:szCs w:val="24"/>
        </w:rPr>
        <w:t>, fast AF – treat as usual</w:t>
      </w:r>
    </w:p>
    <w:p w:rsidR="00080D71" w:rsidRPr="00C63099" w:rsidRDefault="00080D71" w:rsidP="00977739">
      <w:pPr>
        <w:pStyle w:val="ListParagraph"/>
        <w:numPr>
          <w:ilvl w:val="0"/>
          <w:numId w:val="7"/>
        </w:numPr>
        <w:jc w:val="both"/>
        <w:rPr>
          <w:sz w:val="24"/>
          <w:szCs w:val="24"/>
        </w:rPr>
      </w:pPr>
      <w:r w:rsidRPr="00C63099">
        <w:rPr>
          <w:sz w:val="24"/>
          <w:szCs w:val="24"/>
        </w:rPr>
        <w:t>Sepsis – above</w:t>
      </w:r>
    </w:p>
    <w:p w:rsidR="00C64E6F" w:rsidRPr="00C63099" w:rsidRDefault="00C64E6F" w:rsidP="00977739">
      <w:pPr>
        <w:pStyle w:val="ListParagraph"/>
        <w:numPr>
          <w:ilvl w:val="0"/>
          <w:numId w:val="7"/>
        </w:numPr>
        <w:jc w:val="both"/>
        <w:rPr>
          <w:sz w:val="24"/>
          <w:szCs w:val="24"/>
        </w:rPr>
      </w:pPr>
      <w:r w:rsidRPr="00C63099">
        <w:rPr>
          <w:sz w:val="24"/>
          <w:szCs w:val="24"/>
        </w:rPr>
        <w:lastRenderedPageBreak/>
        <w:t>Problems due to individual pre-</w:t>
      </w:r>
      <w:r w:rsidR="00D96441" w:rsidRPr="00C63099">
        <w:rPr>
          <w:sz w:val="24"/>
          <w:szCs w:val="24"/>
        </w:rPr>
        <w:t>morbidities</w:t>
      </w:r>
      <w:r w:rsidRPr="00C63099">
        <w:rPr>
          <w:sz w:val="24"/>
          <w:szCs w:val="24"/>
        </w:rPr>
        <w:t xml:space="preserve"> – for example changes in BGLs in diabetic patients.</w:t>
      </w:r>
    </w:p>
    <w:p w:rsidR="00C64E6F" w:rsidRPr="00C63099" w:rsidRDefault="00080D71" w:rsidP="00977739">
      <w:pPr>
        <w:pStyle w:val="ListParagraph"/>
        <w:numPr>
          <w:ilvl w:val="0"/>
          <w:numId w:val="7"/>
        </w:numPr>
        <w:jc w:val="both"/>
        <w:rPr>
          <w:sz w:val="24"/>
          <w:szCs w:val="24"/>
        </w:rPr>
      </w:pPr>
      <w:r w:rsidRPr="00C63099">
        <w:rPr>
          <w:sz w:val="24"/>
          <w:szCs w:val="24"/>
        </w:rPr>
        <w:t>Failure to respond to treatment – provide quality palliative care when needed</w:t>
      </w:r>
      <w:r w:rsidR="00D90690" w:rsidRPr="00C63099">
        <w:rPr>
          <w:sz w:val="24"/>
          <w:szCs w:val="24"/>
        </w:rPr>
        <w:t xml:space="preserve">. </w:t>
      </w:r>
      <w:r w:rsidR="00845394" w:rsidRPr="00C63099">
        <w:rPr>
          <w:sz w:val="24"/>
          <w:szCs w:val="24"/>
        </w:rPr>
        <w:t>Please ensure residents have proactive PRN medications prescribed so they can be available.</w:t>
      </w:r>
    </w:p>
    <w:p w:rsidR="006C660C" w:rsidRDefault="00D90690" w:rsidP="001A656B">
      <w:pPr>
        <w:pStyle w:val="ListParagraph"/>
        <w:numPr>
          <w:ilvl w:val="1"/>
          <w:numId w:val="16"/>
        </w:numPr>
        <w:jc w:val="both"/>
        <w:rPr>
          <w:sz w:val="24"/>
          <w:szCs w:val="24"/>
        </w:rPr>
      </w:pPr>
      <w:r w:rsidRPr="00C63099">
        <w:rPr>
          <w:sz w:val="24"/>
          <w:szCs w:val="24"/>
        </w:rPr>
        <w:t>M</w:t>
      </w:r>
      <w:r w:rsidR="00080D71" w:rsidRPr="00C63099">
        <w:rPr>
          <w:sz w:val="24"/>
          <w:szCs w:val="24"/>
        </w:rPr>
        <w:t xml:space="preserve">orphine </w:t>
      </w:r>
      <w:r w:rsidRPr="00C63099">
        <w:rPr>
          <w:sz w:val="24"/>
          <w:szCs w:val="24"/>
        </w:rPr>
        <w:t>may r</w:t>
      </w:r>
      <w:r w:rsidR="00080D71" w:rsidRPr="00C63099">
        <w:rPr>
          <w:sz w:val="24"/>
          <w:szCs w:val="24"/>
        </w:rPr>
        <w:t xml:space="preserve">elieve pain and dyspnoea, midazolam agitation, </w:t>
      </w:r>
      <w:r w:rsidRPr="00C63099">
        <w:rPr>
          <w:sz w:val="24"/>
          <w:szCs w:val="24"/>
        </w:rPr>
        <w:t xml:space="preserve">myoclonus, </w:t>
      </w:r>
      <w:r w:rsidR="006C660C" w:rsidRPr="00C63099">
        <w:rPr>
          <w:sz w:val="24"/>
          <w:szCs w:val="24"/>
        </w:rPr>
        <w:t>and seizures</w:t>
      </w:r>
    </w:p>
    <w:p w:rsidR="00C64E6F" w:rsidRPr="00C63099" w:rsidRDefault="006C660C" w:rsidP="001A656B">
      <w:pPr>
        <w:pStyle w:val="ListParagraph"/>
        <w:numPr>
          <w:ilvl w:val="1"/>
          <w:numId w:val="16"/>
        </w:numPr>
        <w:jc w:val="both"/>
        <w:rPr>
          <w:sz w:val="24"/>
          <w:szCs w:val="24"/>
        </w:rPr>
      </w:pPr>
      <w:proofErr w:type="spellStart"/>
      <w:r>
        <w:rPr>
          <w:sz w:val="24"/>
          <w:szCs w:val="24"/>
        </w:rPr>
        <w:t>M</w:t>
      </w:r>
      <w:r w:rsidR="00080D71" w:rsidRPr="00C63099">
        <w:rPr>
          <w:sz w:val="24"/>
          <w:szCs w:val="24"/>
        </w:rPr>
        <w:t>axalon</w:t>
      </w:r>
      <w:proofErr w:type="spellEnd"/>
      <w:r w:rsidR="00080D71" w:rsidRPr="00C63099">
        <w:rPr>
          <w:sz w:val="24"/>
          <w:szCs w:val="24"/>
        </w:rPr>
        <w:t xml:space="preserve"> </w:t>
      </w:r>
      <w:r>
        <w:rPr>
          <w:sz w:val="24"/>
          <w:szCs w:val="24"/>
        </w:rPr>
        <w:t xml:space="preserve">for </w:t>
      </w:r>
      <w:r w:rsidR="00080D71" w:rsidRPr="00C63099">
        <w:rPr>
          <w:sz w:val="24"/>
          <w:szCs w:val="24"/>
        </w:rPr>
        <w:t>nausea and vomiting</w:t>
      </w:r>
      <w:r w:rsidR="00D90690" w:rsidRPr="00C63099">
        <w:rPr>
          <w:sz w:val="24"/>
          <w:szCs w:val="24"/>
        </w:rPr>
        <w:t xml:space="preserve"> </w:t>
      </w:r>
      <w:r w:rsidR="00080D71" w:rsidRPr="00C63099">
        <w:rPr>
          <w:sz w:val="24"/>
          <w:szCs w:val="24"/>
        </w:rPr>
        <w:t xml:space="preserve"> </w:t>
      </w:r>
    </w:p>
    <w:p w:rsidR="006C660C" w:rsidRPr="00EB47CB" w:rsidRDefault="00D90690" w:rsidP="001A656B">
      <w:pPr>
        <w:pStyle w:val="ListParagraph"/>
        <w:numPr>
          <w:ilvl w:val="1"/>
          <w:numId w:val="16"/>
        </w:numPr>
        <w:jc w:val="both"/>
      </w:pPr>
      <w:proofErr w:type="spellStart"/>
      <w:r w:rsidRPr="00C63099">
        <w:rPr>
          <w:sz w:val="24"/>
          <w:szCs w:val="24"/>
        </w:rPr>
        <w:t>R</w:t>
      </w:r>
      <w:r w:rsidR="00080D71" w:rsidRPr="00C63099">
        <w:rPr>
          <w:sz w:val="24"/>
          <w:szCs w:val="24"/>
        </w:rPr>
        <w:t>obinul</w:t>
      </w:r>
      <w:proofErr w:type="spellEnd"/>
      <w:r w:rsidR="00CE6052" w:rsidRPr="00C63099">
        <w:rPr>
          <w:sz w:val="24"/>
          <w:szCs w:val="24"/>
        </w:rPr>
        <w:t xml:space="preserve"> (</w:t>
      </w:r>
      <w:proofErr w:type="spellStart"/>
      <w:r w:rsidR="00CE6052" w:rsidRPr="00C63099">
        <w:rPr>
          <w:sz w:val="24"/>
          <w:szCs w:val="24"/>
        </w:rPr>
        <w:t>glycopyrronium</w:t>
      </w:r>
      <w:proofErr w:type="spellEnd"/>
      <w:r w:rsidR="006C660C" w:rsidRPr="00C63099">
        <w:rPr>
          <w:sz w:val="24"/>
          <w:szCs w:val="24"/>
        </w:rPr>
        <w:t>) can</w:t>
      </w:r>
      <w:r w:rsidRPr="00C63099">
        <w:rPr>
          <w:sz w:val="24"/>
          <w:szCs w:val="24"/>
        </w:rPr>
        <w:t xml:space="preserve"> </w:t>
      </w:r>
      <w:r w:rsidR="00080D71" w:rsidRPr="00C63099">
        <w:rPr>
          <w:sz w:val="24"/>
          <w:szCs w:val="24"/>
        </w:rPr>
        <w:t xml:space="preserve">relieve </w:t>
      </w:r>
      <w:r w:rsidRPr="00C63099">
        <w:rPr>
          <w:sz w:val="24"/>
          <w:szCs w:val="24"/>
        </w:rPr>
        <w:t>congested breathing</w:t>
      </w:r>
      <w:r w:rsidR="00CE6052" w:rsidRPr="00C63099">
        <w:rPr>
          <w:sz w:val="24"/>
          <w:szCs w:val="24"/>
        </w:rPr>
        <w:t xml:space="preserve"> due to secretions</w:t>
      </w:r>
      <w:r w:rsidRPr="00C63099">
        <w:rPr>
          <w:sz w:val="24"/>
          <w:szCs w:val="24"/>
        </w:rPr>
        <w:t xml:space="preserve">. </w:t>
      </w:r>
    </w:p>
    <w:p w:rsidR="00080D71" w:rsidRDefault="00D90690" w:rsidP="001A656B">
      <w:pPr>
        <w:pStyle w:val="ListParagraph"/>
        <w:numPr>
          <w:ilvl w:val="1"/>
          <w:numId w:val="16"/>
        </w:numPr>
        <w:jc w:val="both"/>
      </w:pPr>
      <w:r w:rsidRPr="00C63099">
        <w:rPr>
          <w:sz w:val="24"/>
          <w:szCs w:val="24"/>
        </w:rPr>
        <w:t xml:space="preserve">Further advice may be available from palliative care specialists. </w:t>
      </w:r>
      <w:r w:rsidR="00C64E6F" w:rsidRPr="00C63099">
        <w:rPr>
          <w:sz w:val="24"/>
          <w:szCs w:val="24"/>
        </w:rPr>
        <w:t>Calvary Mater Palliative Care Service on (02) 4921</w:t>
      </w:r>
      <w:r w:rsidR="00C64E6F" w:rsidRPr="00C63099">
        <w:rPr>
          <w:rFonts w:ascii="MS Mincho" w:eastAsia="MS Mincho" w:hAnsi="MS Mincho" w:cs="MS Mincho"/>
          <w:sz w:val="24"/>
          <w:szCs w:val="24"/>
        </w:rPr>
        <w:t>‑</w:t>
      </w:r>
      <w:r w:rsidR="00C64E6F" w:rsidRPr="00C63099">
        <w:rPr>
          <w:sz w:val="24"/>
          <w:szCs w:val="24"/>
        </w:rPr>
        <w:t>1211, and ask to speak with the rostered palliative care specialist, 24 hours a day, 7 days a week</w:t>
      </w:r>
      <w:r w:rsidR="00C64E6F" w:rsidRPr="00C64E6F">
        <w:t>.</w:t>
      </w:r>
    </w:p>
    <w:p w:rsidR="001A656B" w:rsidRDefault="001A656B" w:rsidP="001A656B">
      <w:pPr>
        <w:pStyle w:val="ListParagraph"/>
        <w:numPr>
          <w:ilvl w:val="1"/>
          <w:numId w:val="16"/>
        </w:numPr>
        <w:jc w:val="both"/>
      </w:pPr>
      <w:r w:rsidRPr="001A656B">
        <w:t xml:space="preserve">See also HNE </w:t>
      </w:r>
      <w:proofErr w:type="spellStart"/>
      <w:r w:rsidRPr="001A656B">
        <w:t>P&amp;EoLCare</w:t>
      </w:r>
      <w:proofErr w:type="spellEnd"/>
      <w:r w:rsidRPr="001A656B">
        <w:t xml:space="preserve"> stream position statement and </w:t>
      </w:r>
      <w:hyperlink r:id="rId12" w:history="1">
        <w:r w:rsidRPr="001A656B">
          <w:rPr>
            <w:rStyle w:val="Hyperlink"/>
          </w:rPr>
          <w:t>ELDAC prescriber guide</w:t>
        </w:r>
      </w:hyperlink>
      <w:r>
        <w:t xml:space="preserve"> on </w:t>
      </w:r>
    </w:p>
    <w:p w:rsidR="00C64E6F" w:rsidRPr="00C64E6F" w:rsidRDefault="00C64E6F" w:rsidP="001A656B">
      <w:pPr>
        <w:pStyle w:val="ListParagraph"/>
        <w:numPr>
          <w:ilvl w:val="1"/>
          <w:numId w:val="16"/>
        </w:numPr>
        <w:jc w:val="both"/>
        <w:rPr>
          <w:rStyle w:val="Hyperlink"/>
        </w:rPr>
      </w:pPr>
      <w:r>
        <w:fldChar w:fldCharType="begin"/>
      </w:r>
      <w:r>
        <w:instrText xml:space="preserve"> HYPERLINK "http://www.cec.health.nsw.gov.au/__data/assets/pdf_file/0005/359339/LDOL-Anticipatory-Prescribing-Guide-April-2017.PDF" \t "_blank" </w:instrText>
      </w:r>
      <w:r>
        <w:fldChar w:fldCharType="separate"/>
      </w:r>
      <w:r w:rsidRPr="00C64E6F">
        <w:rPr>
          <w:rStyle w:val="Hyperlink"/>
        </w:rPr>
        <w:t>Last Days of Life Anticipatory Prescribing Recommendations for In-Patient Setting – ADULT.</w:t>
      </w:r>
      <w:r w:rsidR="001A656B">
        <w:rPr>
          <w:rStyle w:val="Hyperlink"/>
        </w:rPr>
        <w:t xml:space="preserve">  </w:t>
      </w:r>
    </w:p>
    <w:p w:rsidR="00960972" w:rsidRDefault="00C64E6F" w:rsidP="001A656B">
      <w:pPr>
        <w:pStyle w:val="ListParagraph"/>
        <w:numPr>
          <w:ilvl w:val="0"/>
          <w:numId w:val="16"/>
        </w:numPr>
        <w:rPr>
          <w:bCs/>
          <w:i/>
          <w:iCs/>
        </w:rPr>
      </w:pPr>
      <w:r>
        <w:fldChar w:fldCharType="end"/>
      </w:r>
      <w:r w:rsidR="00960972" w:rsidRPr="00EB47CB">
        <w:t>6. Release from isolation</w:t>
      </w:r>
      <w:r w:rsidR="00960972">
        <w:rPr>
          <w:bCs/>
          <w:i/>
          <w:iCs/>
        </w:rPr>
        <w:t xml:space="preserve"> </w:t>
      </w:r>
    </w:p>
    <w:p w:rsidR="009676A8" w:rsidRDefault="006C660C">
      <w:pPr>
        <w:rPr>
          <w:b/>
        </w:rPr>
      </w:pPr>
      <w:r w:rsidRPr="00EB47CB">
        <w:t>C</w:t>
      </w:r>
      <w:r w:rsidR="00CB5976">
        <w:t xml:space="preserve">onsult the </w:t>
      </w:r>
      <w:hyperlink r:id="rId13" w:history="1">
        <w:r w:rsidR="00CB5976" w:rsidRPr="00CB5976">
          <w:rPr>
            <w:rStyle w:val="Hyperlink"/>
          </w:rPr>
          <w:t>CDNA National Guidelines for Public Health Units</w:t>
        </w:r>
        <w:r w:rsidR="00A35643">
          <w:rPr>
            <w:rStyle w:val="Hyperlink"/>
          </w:rPr>
          <w:t xml:space="preserve"> </w:t>
        </w:r>
        <w:r w:rsidR="00CB5976" w:rsidRPr="00CB5976">
          <w:rPr>
            <w:rStyle w:val="Hyperlink"/>
          </w:rPr>
          <w:t>Coronavirus Disease 2019 (COVID-19)</w:t>
        </w:r>
      </w:hyperlink>
      <w:r w:rsidR="00CB5976">
        <w:t xml:space="preserve"> </w:t>
      </w:r>
      <w:r w:rsidR="00960972">
        <w:t xml:space="preserve">for the most </w:t>
      </w:r>
      <w:r w:rsidR="00CB5976">
        <w:t xml:space="preserve">current recommendations or </w:t>
      </w:r>
      <w:r w:rsidR="00960972">
        <w:t xml:space="preserve">contact </w:t>
      </w:r>
      <w:r w:rsidR="00D90690">
        <w:t>PHU</w:t>
      </w:r>
    </w:p>
    <w:p w:rsidR="00E828C4" w:rsidRPr="00C301E8" w:rsidRDefault="00C301E8" w:rsidP="00977739">
      <w:pPr>
        <w:jc w:val="both"/>
        <w:rPr>
          <w:b/>
        </w:rPr>
      </w:pPr>
      <w:r w:rsidRPr="00C301E8">
        <w:rPr>
          <w:b/>
        </w:rPr>
        <w:t>References</w:t>
      </w:r>
    </w:p>
    <w:p w:rsidR="0035124D" w:rsidRDefault="00C301E8" w:rsidP="00977739">
      <w:pPr>
        <w:jc w:val="both"/>
      </w:pPr>
      <w:r>
        <w:t xml:space="preserve">Clinical Excellence Commission (2017). </w:t>
      </w:r>
      <w:r w:rsidRPr="00C301E8">
        <w:t>Last Days of Life Anticipatory Prescribing Recommendations for In-Patient Setting – ADULT.</w:t>
      </w:r>
      <w:r>
        <w:t xml:space="preserve"> </w:t>
      </w:r>
      <w:hyperlink r:id="rId14" w:tgtFrame="_blank" w:history="1">
        <w:r>
          <w:rPr>
            <w:rStyle w:val="Hyperlink"/>
          </w:rPr>
          <w:t>Last Days of Life Anticipatory Prescribing Recommendations for In-Patient Setting – ADULT</w:t>
        </w:r>
      </w:hyperlink>
      <w:r>
        <w:t>. VERSION 2: APRIL 2017. Accessed 02/04/2020.</w:t>
      </w:r>
    </w:p>
    <w:p w:rsidR="00C301E8" w:rsidRDefault="00C301E8" w:rsidP="00977739">
      <w:pPr>
        <w:jc w:val="both"/>
      </w:pPr>
      <w:r w:rsidRPr="00C301E8">
        <w:t xml:space="preserve">Communicable Diseases Network Australia (CDNA), 13/03/20. Coronavirus Disease 2019 (COVID-19) Outbreaks in Residential Care Facilities CDNA </w:t>
      </w:r>
      <w:hyperlink r:id="rId15" w:history="1">
        <w:r w:rsidRPr="00A96955">
          <w:rPr>
            <w:rStyle w:val="Hyperlink"/>
          </w:rPr>
          <w:t>National Guidelines for the Prevention, Control and Public Health Management of COVID-19 Outbreaks in Residential Care Facilities in Australia</w:t>
        </w:r>
      </w:hyperlink>
      <w:r w:rsidRPr="00C301E8">
        <w:t>. V1</w:t>
      </w:r>
      <w:r>
        <w:t xml:space="preserve">. </w:t>
      </w:r>
    </w:p>
    <w:p w:rsidR="0019601A" w:rsidRDefault="00A96955" w:rsidP="00977739">
      <w:pPr>
        <w:jc w:val="both"/>
      </w:pPr>
      <w:r>
        <w:t xml:space="preserve">Clinical Excellence Commission (12 March 2020). </w:t>
      </w:r>
      <w:hyperlink r:id="rId16" w:history="1">
        <w:r w:rsidRPr="00A96955">
          <w:rPr>
            <w:rStyle w:val="Hyperlink"/>
          </w:rPr>
          <w:t>Infection Prevention and Control COVID-19 (SARS-CoV-2) – Residential &amp; Aged Care Facilities</w:t>
        </w:r>
      </w:hyperlink>
      <w:r>
        <w:t xml:space="preserve"> - Version 1.</w:t>
      </w:r>
      <w:r w:rsidDel="00A96955">
        <w:t xml:space="preserve"> </w:t>
      </w:r>
    </w:p>
    <w:p w:rsidR="00E0329E" w:rsidRDefault="00E0329E" w:rsidP="00977739">
      <w:pPr>
        <w:jc w:val="both"/>
      </w:pPr>
      <w:r>
        <w:rPr>
          <w:lang w:val="en-US"/>
        </w:rPr>
        <w:t xml:space="preserve">McMichael TM, Clark S, </w:t>
      </w:r>
      <w:proofErr w:type="spellStart"/>
      <w:r>
        <w:rPr>
          <w:lang w:val="en-US"/>
        </w:rPr>
        <w:t>Pogosjans</w:t>
      </w:r>
      <w:proofErr w:type="spellEnd"/>
      <w:r>
        <w:rPr>
          <w:lang w:val="en-US"/>
        </w:rPr>
        <w:t xml:space="preserve"> S, et al. COVID-19 in a Long-Term Care Facility — King County, Washington, February 27–March 9, 2020. MMWR </w:t>
      </w:r>
      <w:proofErr w:type="spellStart"/>
      <w:r>
        <w:rPr>
          <w:lang w:val="en-US"/>
        </w:rPr>
        <w:t>Morb</w:t>
      </w:r>
      <w:proofErr w:type="spellEnd"/>
      <w:r>
        <w:rPr>
          <w:lang w:val="en-US"/>
        </w:rPr>
        <w:t xml:space="preserve"> Mortal </w:t>
      </w:r>
      <w:proofErr w:type="spellStart"/>
      <w:r>
        <w:rPr>
          <w:lang w:val="en-US"/>
        </w:rPr>
        <w:t>Wkly</w:t>
      </w:r>
      <w:proofErr w:type="spellEnd"/>
      <w:r>
        <w:rPr>
          <w:lang w:val="en-US"/>
        </w:rPr>
        <w:t xml:space="preserve"> Rep </w:t>
      </w:r>
      <w:proofErr w:type="gramStart"/>
      <w:r>
        <w:rPr>
          <w:lang w:val="en-US"/>
        </w:rPr>
        <w:t>2020;69:339</w:t>
      </w:r>
      <w:proofErr w:type="gramEnd"/>
      <w:r>
        <w:rPr>
          <w:lang w:val="en-US"/>
        </w:rPr>
        <w:t xml:space="preserve">-342. DOI: </w:t>
      </w:r>
      <w:hyperlink r:id="rId17" w:tgtFrame="_blank" w:history="1">
        <w:r>
          <w:rPr>
            <w:rStyle w:val="Hyperlink"/>
            <w:lang w:val="en-US"/>
          </w:rPr>
          <w:t>http://dx.doi.org/10.15585/mmwr.mm6912e1</w:t>
        </w:r>
      </w:hyperlink>
    </w:p>
    <w:p w:rsidR="00960972" w:rsidRDefault="00960972" w:rsidP="00960972">
      <w:pPr>
        <w:jc w:val="both"/>
      </w:pPr>
      <w:r w:rsidRPr="00884624">
        <w:rPr>
          <w:rStyle w:val="Hyperlink"/>
          <w:rFonts w:ascii="Arial" w:hAnsi="Arial" w:cs="Arial"/>
          <w:sz w:val="20"/>
          <w:szCs w:val="20"/>
          <w:lang w:val="en"/>
        </w:rPr>
        <w:t>NEJM Procedure: Collection of Nasopharyngeal Specimens</w:t>
      </w:r>
    </w:p>
    <w:p w:rsidR="00960972" w:rsidRDefault="00960972" w:rsidP="00960972">
      <w:pPr>
        <w:jc w:val="both"/>
        <w:rPr>
          <w:rFonts w:ascii="Helvetica" w:hAnsi="Helvetica"/>
          <w:color w:val="222222"/>
          <w:sz w:val="20"/>
          <w:szCs w:val="20"/>
        </w:rPr>
      </w:pPr>
      <w:r>
        <w:rPr>
          <w:rFonts w:ascii="Helvetica" w:hAnsi="Helvetica"/>
          <w:color w:val="222222"/>
          <w:sz w:val="20"/>
          <w:szCs w:val="20"/>
        </w:rPr>
        <w:t xml:space="preserve">The Department of Health, </w:t>
      </w:r>
      <w:r w:rsidRPr="00CB5976">
        <w:rPr>
          <w:rFonts w:ascii="Helvetica" w:hAnsi="Helvetica"/>
          <w:color w:val="222222"/>
          <w:sz w:val="20"/>
          <w:szCs w:val="20"/>
        </w:rPr>
        <w:t>26 March 2020</w:t>
      </w:r>
      <w:r>
        <w:rPr>
          <w:rFonts w:ascii="Helvetica" w:hAnsi="Helvetica"/>
          <w:color w:val="222222"/>
          <w:sz w:val="20"/>
          <w:szCs w:val="20"/>
        </w:rPr>
        <w:t xml:space="preserve">. </w:t>
      </w:r>
      <w:hyperlink r:id="rId18" w:history="1">
        <w:r w:rsidRPr="00CB5976">
          <w:rPr>
            <w:rStyle w:val="Hyperlink"/>
            <w:rFonts w:ascii="Helvetica" w:hAnsi="Helvetica"/>
            <w:sz w:val="20"/>
            <w:szCs w:val="20"/>
          </w:rPr>
          <w:t>Coronavirus Disease 2019 (COVID-19) CDNA National Guidelines for Public Health Units</w:t>
        </w:r>
      </w:hyperlink>
      <w:r>
        <w:rPr>
          <w:rFonts w:ascii="Helvetica" w:hAnsi="Helvetica"/>
          <w:color w:val="222222"/>
          <w:sz w:val="20"/>
          <w:szCs w:val="20"/>
        </w:rPr>
        <w:t xml:space="preserve"> (COVID-19 </w:t>
      </w:r>
      <w:proofErr w:type="spellStart"/>
      <w:r>
        <w:rPr>
          <w:rFonts w:ascii="Helvetica" w:hAnsi="Helvetica"/>
          <w:color w:val="222222"/>
          <w:sz w:val="20"/>
          <w:szCs w:val="20"/>
        </w:rPr>
        <w:t>SoNG</w:t>
      </w:r>
      <w:proofErr w:type="spellEnd"/>
      <w:r>
        <w:rPr>
          <w:rFonts w:ascii="Helvetica" w:hAnsi="Helvetica"/>
          <w:color w:val="222222"/>
          <w:sz w:val="20"/>
          <w:szCs w:val="20"/>
        </w:rPr>
        <w:t>).</w:t>
      </w:r>
    </w:p>
    <w:p w:rsidR="00960972" w:rsidRDefault="00960972" w:rsidP="00960972">
      <w:pPr>
        <w:jc w:val="both"/>
      </w:pPr>
      <w:r>
        <w:rPr>
          <w:lang w:val="en"/>
        </w:rPr>
        <w:t xml:space="preserve">Therapeutic Guidelines Limited April 2019. </w:t>
      </w:r>
      <w:hyperlink r:id="rId19" w:history="1">
        <w:proofErr w:type="spellStart"/>
        <w:r w:rsidRPr="000E7F30">
          <w:rPr>
            <w:rStyle w:val="Hyperlink"/>
          </w:rPr>
          <w:t>eTG</w:t>
        </w:r>
        <w:proofErr w:type="spellEnd"/>
        <w:r w:rsidRPr="000E7F30">
          <w:rPr>
            <w:rStyle w:val="Hyperlink"/>
          </w:rPr>
          <w:t xml:space="preserve"> </w:t>
        </w:r>
        <w:r w:rsidRPr="00D422C8">
          <w:rPr>
            <w:rStyle w:val="Hyperlink"/>
            <w:rFonts w:cs="Helvetica"/>
            <w:lang w:val="en"/>
          </w:rPr>
          <w:t>Community-acquired pneumonia in aged-care facilities</w:t>
        </w:r>
      </w:hyperlink>
    </w:p>
    <w:p w:rsidR="00516467" w:rsidRDefault="00516467" w:rsidP="00516467">
      <w:pPr>
        <w:jc w:val="both"/>
        <w:rPr>
          <w:rFonts w:ascii="Helvetica" w:hAnsi="Helvetica"/>
          <w:color w:val="222222"/>
          <w:sz w:val="20"/>
          <w:szCs w:val="20"/>
        </w:rPr>
      </w:pPr>
    </w:p>
    <w:p w:rsidR="00F51D37" w:rsidRPr="00516467" w:rsidRDefault="00516467" w:rsidP="00516467">
      <w:pPr>
        <w:jc w:val="both"/>
        <w:rPr>
          <w:b/>
          <w:sz w:val="28"/>
          <w:szCs w:val="28"/>
        </w:rPr>
      </w:pPr>
      <w:r w:rsidRPr="00516467">
        <w:rPr>
          <w:b/>
          <w:sz w:val="28"/>
          <w:szCs w:val="28"/>
        </w:rPr>
        <w:t xml:space="preserve">Key phone numbers </w:t>
      </w:r>
    </w:p>
    <w:p w:rsidR="00F51D37" w:rsidRDefault="00F51D37" w:rsidP="001A656B">
      <w:pPr>
        <w:pStyle w:val="bodytext"/>
        <w:spacing w:after="0" w:afterAutospacing="0"/>
        <w:rPr>
          <w:rFonts w:asciiTheme="minorHAnsi" w:hAnsiTheme="minorHAnsi" w:cstheme="minorHAnsi"/>
          <w:sz w:val="22"/>
          <w:szCs w:val="22"/>
        </w:rPr>
      </w:pPr>
      <w:r>
        <w:rPr>
          <w:rFonts w:asciiTheme="minorHAnsi" w:hAnsiTheme="minorHAnsi" w:cstheme="minorHAnsi"/>
          <w:sz w:val="22"/>
          <w:szCs w:val="22"/>
        </w:rPr>
        <w:t>ACE line</w:t>
      </w:r>
      <w:r w:rsidR="00516467">
        <w:rPr>
          <w:rFonts w:asciiTheme="minorHAnsi" w:hAnsiTheme="minorHAnsi" w:cstheme="minorHAnsi"/>
          <w:sz w:val="22"/>
          <w:szCs w:val="22"/>
        </w:rPr>
        <w:t xml:space="preserve"> - </w:t>
      </w:r>
      <w:r w:rsidR="00516467" w:rsidRPr="00516467">
        <w:rPr>
          <w:rFonts w:asciiTheme="minorHAnsi" w:hAnsiTheme="minorHAnsi" w:cstheme="minorHAnsi"/>
          <w:sz w:val="22"/>
          <w:szCs w:val="22"/>
        </w:rPr>
        <w:t>1300 223 555</w:t>
      </w:r>
    </w:p>
    <w:p w:rsidR="00516467" w:rsidRDefault="00F51D37" w:rsidP="001A656B">
      <w:pPr>
        <w:pStyle w:val="bodytex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ACE website</w:t>
      </w:r>
      <w:r w:rsidR="00516467">
        <w:rPr>
          <w:rFonts w:asciiTheme="minorHAnsi" w:hAnsiTheme="minorHAnsi" w:cstheme="minorHAnsi"/>
          <w:sz w:val="22"/>
          <w:szCs w:val="22"/>
        </w:rPr>
        <w:t xml:space="preserve"> - </w:t>
      </w:r>
      <w:hyperlink r:id="rId20" w:tgtFrame="_blank" w:history="1">
        <w:r w:rsidR="00516467">
          <w:rPr>
            <w:rStyle w:val="Hyperlink"/>
            <w:rFonts w:ascii="Calibri" w:hAnsi="Calibri" w:cs="Calibri"/>
            <w:sz w:val="22"/>
            <w:szCs w:val="22"/>
            <w:lang w:val="en-NZ"/>
          </w:rPr>
          <w:t>http://ace.healthpathways.org.au/</w:t>
        </w:r>
      </w:hyperlink>
      <w:r w:rsidR="00516467">
        <w:rPr>
          <w:rFonts w:ascii="Calibri" w:hAnsi="Calibri" w:cs="Calibri"/>
          <w:sz w:val="22"/>
          <w:szCs w:val="22"/>
          <w:lang w:val="en-NZ"/>
        </w:rPr>
        <w:t xml:space="preserve">  </w:t>
      </w:r>
      <w:r w:rsidR="00516467">
        <w:rPr>
          <w:rFonts w:ascii="Calibri" w:hAnsi="Calibri" w:cs="Calibri"/>
          <w:color w:val="1F497D"/>
          <w:sz w:val="22"/>
          <w:szCs w:val="22"/>
          <w:lang w:eastAsia="en-US"/>
        </w:rPr>
        <w:t>Username: aged   Password: care</w:t>
      </w:r>
      <w:r>
        <w:rPr>
          <w:rFonts w:asciiTheme="minorHAnsi" w:hAnsiTheme="minorHAnsi" w:cstheme="minorHAnsi"/>
          <w:sz w:val="22"/>
          <w:szCs w:val="22"/>
        </w:rPr>
        <w:t xml:space="preserve"> </w:t>
      </w:r>
    </w:p>
    <w:p w:rsidR="00F51D37" w:rsidRDefault="00F51D37" w:rsidP="001A656B">
      <w:pPr>
        <w:pStyle w:val="bodytext"/>
        <w:spacing w:after="0" w:afterAutospacing="0"/>
        <w:rPr>
          <w:rFonts w:asciiTheme="minorHAnsi" w:hAnsiTheme="minorHAnsi" w:cstheme="minorHAnsi"/>
          <w:sz w:val="22"/>
          <w:szCs w:val="22"/>
        </w:rPr>
      </w:pPr>
      <w:r>
        <w:rPr>
          <w:rFonts w:asciiTheme="minorHAnsi" w:hAnsiTheme="minorHAnsi" w:cstheme="minorHAnsi"/>
          <w:sz w:val="22"/>
          <w:szCs w:val="22"/>
        </w:rPr>
        <w:t xml:space="preserve">Public health </w:t>
      </w:r>
    </w:p>
    <w:p w:rsidR="001A656B" w:rsidRPr="00C63099" w:rsidRDefault="001A656B" w:rsidP="001A656B">
      <w:pPr>
        <w:pStyle w:val="ListParagraph"/>
        <w:numPr>
          <w:ilvl w:val="0"/>
          <w:numId w:val="3"/>
        </w:numPr>
        <w:jc w:val="both"/>
        <w:rPr>
          <w:sz w:val="24"/>
          <w:szCs w:val="24"/>
        </w:rPr>
      </w:pPr>
      <w:r w:rsidRPr="00C63099">
        <w:rPr>
          <w:sz w:val="24"/>
          <w:szCs w:val="24"/>
        </w:rPr>
        <w:t xml:space="preserve">Tamworth and Area Communicable Disease Team – </w:t>
      </w:r>
      <w:proofErr w:type="spellStart"/>
      <w:r w:rsidRPr="00C63099">
        <w:rPr>
          <w:sz w:val="24"/>
          <w:szCs w:val="24"/>
        </w:rPr>
        <w:t>ph</w:t>
      </w:r>
      <w:proofErr w:type="spellEnd"/>
      <w:r w:rsidRPr="00C63099">
        <w:rPr>
          <w:sz w:val="24"/>
          <w:szCs w:val="24"/>
        </w:rPr>
        <w:t xml:space="preserve"> 6764 8000</w:t>
      </w:r>
    </w:p>
    <w:p w:rsidR="001A656B" w:rsidRPr="00C63099" w:rsidRDefault="001A656B" w:rsidP="001A656B">
      <w:pPr>
        <w:pStyle w:val="ListParagraph"/>
        <w:numPr>
          <w:ilvl w:val="0"/>
          <w:numId w:val="3"/>
        </w:numPr>
        <w:jc w:val="both"/>
        <w:rPr>
          <w:sz w:val="24"/>
          <w:szCs w:val="24"/>
        </w:rPr>
      </w:pPr>
      <w:r w:rsidRPr="00C63099">
        <w:rPr>
          <w:sz w:val="24"/>
          <w:szCs w:val="24"/>
        </w:rPr>
        <w:t xml:space="preserve">Newcastle Communicable Disease Team – </w:t>
      </w:r>
      <w:proofErr w:type="spellStart"/>
      <w:r w:rsidRPr="00C63099">
        <w:rPr>
          <w:sz w:val="24"/>
          <w:szCs w:val="24"/>
        </w:rPr>
        <w:t>ph</w:t>
      </w:r>
      <w:proofErr w:type="spellEnd"/>
      <w:r w:rsidRPr="00C63099">
        <w:rPr>
          <w:sz w:val="24"/>
          <w:szCs w:val="24"/>
        </w:rPr>
        <w:t xml:space="preserve"> 4924 6477</w:t>
      </w:r>
    </w:p>
    <w:p w:rsidR="001A656B" w:rsidRPr="00C63099" w:rsidRDefault="001A656B" w:rsidP="001A656B">
      <w:pPr>
        <w:pStyle w:val="ListParagraph"/>
        <w:numPr>
          <w:ilvl w:val="0"/>
          <w:numId w:val="3"/>
        </w:numPr>
        <w:jc w:val="both"/>
        <w:rPr>
          <w:sz w:val="24"/>
          <w:szCs w:val="24"/>
        </w:rPr>
      </w:pPr>
      <w:r w:rsidRPr="00C63099">
        <w:rPr>
          <w:sz w:val="24"/>
          <w:szCs w:val="24"/>
        </w:rPr>
        <w:t xml:space="preserve">Taree Communicable Disease Team – </w:t>
      </w:r>
      <w:proofErr w:type="spellStart"/>
      <w:r w:rsidRPr="00C63099">
        <w:rPr>
          <w:sz w:val="24"/>
          <w:szCs w:val="24"/>
        </w:rPr>
        <w:t>ph</w:t>
      </w:r>
      <w:proofErr w:type="spellEnd"/>
      <w:r w:rsidRPr="00C63099">
        <w:rPr>
          <w:sz w:val="24"/>
          <w:szCs w:val="24"/>
        </w:rPr>
        <w:t xml:space="preserve"> 6515 1853 </w:t>
      </w:r>
    </w:p>
    <w:p w:rsidR="00516467" w:rsidRDefault="00516467" w:rsidP="00516467">
      <w:pPr>
        <w:pStyle w:val="bodytext"/>
        <w:spacing w:after="0" w:afterAutospacing="0"/>
        <w:rPr>
          <w:rFonts w:asciiTheme="minorHAnsi" w:hAnsiTheme="minorHAnsi" w:cstheme="minorHAnsi"/>
          <w:sz w:val="22"/>
          <w:szCs w:val="22"/>
        </w:rPr>
      </w:pPr>
      <w:r>
        <w:rPr>
          <w:rFonts w:asciiTheme="minorHAnsi" w:hAnsiTheme="minorHAnsi" w:cstheme="minorHAnsi"/>
          <w:sz w:val="22"/>
          <w:szCs w:val="22"/>
        </w:rPr>
        <w:t xml:space="preserve">NSW Ambulance </w:t>
      </w:r>
    </w:p>
    <w:p w:rsidR="00516467" w:rsidRPr="00516467" w:rsidRDefault="00516467" w:rsidP="00516467">
      <w:pPr>
        <w:pStyle w:val="bodytext"/>
        <w:numPr>
          <w:ilvl w:val="0"/>
          <w:numId w:val="15"/>
        </w:numPr>
        <w:spacing w:before="0" w:beforeAutospacing="0"/>
        <w:rPr>
          <w:rFonts w:asciiTheme="minorHAnsi" w:hAnsiTheme="minorHAnsi" w:cstheme="minorHAnsi"/>
          <w:sz w:val="22"/>
          <w:szCs w:val="22"/>
        </w:rPr>
      </w:pPr>
      <w:r w:rsidRPr="00516467">
        <w:rPr>
          <w:rFonts w:asciiTheme="minorHAnsi" w:hAnsiTheme="minorHAnsi" w:cstheme="minorHAnsi"/>
          <w:sz w:val="22"/>
          <w:szCs w:val="22"/>
        </w:rPr>
        <w:t>to arrange transfer to ED</w:t>
      </w:r>
      <w:r>
        <w:rPr>
          <w:rFonts w:asciiTheme="minorHAnsi" w:hAnsiTheme="minorHAnsi" w:cstheme="minorHAnsi"/>
          <w:sz w:val="22"/>
          <w:szCs w:val="22"/>
        </w:rPr>
        <w:t xml:space="preserve"> by p</w:t>
      </w:r>
      <w:r w:rsidRPr="00516467">
        <w:rPr>
          <w:rFonts w:asciiTheme="minorHAnsi" w:hAnsiTheme="minorHAnsi" w:cstheme="minorHAnsi"/>
          <w:sz w:val="22"/>
          <w:szCs w:val="22"/>
        </w:rPr>
        <w:t>honi</w:t>
      </w:r>
      <w:r>
        <w:rPr>
          <w:rFonts w:asciiTheme="minorHAnsi" w:hAnsiTheme="minorHAnsi" w:cstheme="minorHAnsi"/>
          <w:sz w:val="22"/>
          <w:szCs w:val="22"/>
        </w:rPr>
        <w:t>ng</w:t>
      </w:r>
      <w:r w:rsidRPr="00516467">
        <w:rPr>
          <w:rFonts w:asciiTheme="minorHAnsi" w:hAnsiTheme="minorHAnsi" w:cstheme="minorHAnsi"/>
          <w:sz w:val="22"/>
          <w:szCs w:val="22"/>
        </w:rPr>
        <w:t xml:space="preserve"> </w:t>
      </w:r>
      <w:proofErr w:type="gramStart"/>
      <w:r w:rsidRPr="00516467">
        <w:rPr>
          <w:rFonts w:asciiTheme="minorHAnsi" w:hAnsiTheme="minorHAnsi" w:cstheme="minorHAnsi"/>
          <w:sz w:val="22"/>
          <w:szCs w:val="22"/>
        </w:rPr>
        <w:t>131233  -</w:t>
      </w:r>
      <w:proofErr w:type="gramEnd"/>
      <w:r w:rsidRPr="00516467">
        <w:rPr>
          <w:rFonts w:asciiTheme="minorHAnsi" w:hAnsiTheme="minorHAnsi" w:cstheme="minorHAnsi"/>
          <w:sz w:val="22"/>
          <w:szCs w:val="22"/>
        </w:rPr>
        <w:t xml:space="preserve">  Option 3 </w:t>
      </w:r>
    </w:p>
    <w:p w:rsidR="00516467" w:rsidRDefault="00516467" w:rsidP="00516467">
      <w:pPr>
        <w:pStyle w:val="bodytext"/>
        <w:numPr>
          <w:ilvl w:val="0"/>
          <w:numId w:val="15"/>
        </w:numPr>
        <w:spacing w:before="0" w:beforeAutospacing="0"/>
        <w:rPr>
          <w:rFonts w:asciiTheme="minorHAnsi" w:hAnsiTheme="minorHAnsi" w:cstheme="minorHAnsi"/>
          <w:sz w:val="22"/>
          <w:szCs w:val="22"/>
        </w:rPr>
      </w:pPr>
      <w:r>
        <w:rPr>
          <w:rFonts w:asciiTheme="minorHAnsi" w:hAnsiTheme="minorHAnsi" w:cstheme="minorHAnsi"/>
          <w:sz w:val="22"/>
          <w:szCs w:val="22"/>
        </w:rPr>
        <w:t>o</w:t>
      </w:r>
      <w:r w:rsidRPr="00516467">
        <w:rPr>
          <w:rFonts w:asciiTheme="minorHAnsi" w:hAnsiTheme="minorHAnsi" w:cstheme="minorHAnsi"/>
          <w:sz w:val="22"/>
          <w:szCs w:val="22"/>
        </w:rPr>
        <w:t>r if an emergency phone 000</w:t>
      </w:r>
    </w:p>
    <w:p w:rsidR="00BB53F7" w:rsidRDefault="00DA11FB" w:rsidP="001A656B">
      <w:pPr>
        <w:pStyle w:val="bodytext"/>
        <w:rPr>
          <w:rStyle w:val="TitleChar"/>
        </w:rPr>
      </w:pPr>
      <w:hyperlink r:id="rId21" w:history="1">
        <w:r w:rsidR="00F51D37" w:rsidRPr="00516467">
          <w:rPr>
            <w:rStyle w:val="Hyperlink"/>
            <w:rFonts w:asciiTheme="minorHAnsi" w:hAnsiTheme="minorHAnsi" w:cstheme="minorHAnsi"/>
            <w:sz w:val="22"/>
            <w:szCs w:val="22"/>
          </w:rPr>
          <w:t>My Emergency Doctors website</w:t>
        </w:r>
      </w:hyperlink>
      <w:r w:rsidR="00516467">
        <w:rPr>
          <w:rFonts w:asciiTheme="minorHAnsi" w:hAnsiTheme="minorHAnsi" w:cstheme="minorHAnsi"/>
          <w:sz w:val="22"/>
          <w:szCs w:val="22"/>
        </w:rPr>
        <w:t xml:space="preserve"> </w:t>
      </w:r>
      <w:r w:rsidR="00BB53F7">
        <w:rPr>
          <w:rStyle w:val="TitleChar"/>
        </w:rPr>
        <w:br w:type="page"/>
      </w:r>
    </w:p>
    <w:p w:rsidR="0019601A" w:rsidRPr="000F7A75" w:rsidRDefault="0019601A" w:rsidP="0019601A">
      <w:pPr>
        <w:pStyle w:val="bodytext"/>
        <w:rPr>
          <w:rFonts w:asciiTheme="minorHAnsi" w:hAnsiTheme="minorHAnsi" w:cstheme="minorHAnsi"/>
          <w:sz w:val="22"/>
          <w:szCs w:val="22"/>
        </w:rPr>
      </w:pPr>
      <w:r w:rsidRPr="00845394">
        <w:rPr>
          <w:rStyle w:val="TitleChar"/>
        </w:rPr>
        <w:lastRenderedPageBreak/>
        <w:t>Goals of care</w:t>
      </w:r>
      <w:r w:rsidRPr="000F7A75">
        <w:rPr>
          <w:rFonts w:asciiTheme="minorHAnsi" w:hAnsiTheme="minorHAnsi" w:cstheme="minorHAnsi"/>
          <w:sz w:val="22"/>
          <w:szCs w:val="22"/>
        </w:rPr>
        <w:t xml:space="preserve"> are reflective of the advanced care directive, MOLST, and/or resuscitation plans.</w:t>
      </w:r>
    </w:p>
    <w:p w:rsidR="0019601A" w:rsidRDefault="0019601A" w:rsidP="00977739">
      <w:pPr>
        <w:jc w:val="both"/>
      </w:pPr>
      <w:r>
        <w:rPr>
          <w:noProof/>
          <w:lang w:eastAsia="en-AU"/>
        </w:rPr>
        <w:drawing>
          <wp:inline distT="0" distB="0" distL="0" distR="0" wp14:anchorId="3360386B" wp14:editId="0D612F06">
            <wp:extent cx="5731510" cy="662073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6620730"/>
                    </a:xfrm>
                    <a:prstGeom prst="rect">
                      <a:avLst/>
                    </a:prstGeom>
                  </pic:spPr>
                </pic:pic>
              </a:graphicData>
            </a:graphic>
          </wp:inline>
        </w:drawing>
      </w:r>
    </w:p>
    <w:p w:rsidR="009676A8" w:rsidRPr="00C63099" w:rsidRDefault="0019601A" w:rsidP="00977739">
      <w:pPr>
        <w:jc w:val="both"/>
        <w:rPr>
          <w:sz w:val="72"/>
          <w:szCs w:val="72"/>
        </w:rPr>
      </w:pPr>
      <w:r w:rsidRPr="00845394">
        <w:rPr>
          <w:rFonts w:cstheme="minorHAnsi"/>
        </w:rPr>
        <w:t xml:space="preserve">Flowchart adapted from Tasmanian Government, Department of Health and Human Services – </w:t>
      </w:r>
      <w:hyperlink r:id="rId23" w:tgtFrame="_blank" w:history="1">
        <w:r w:rsidRPr="00845394">
          <w:rPr>
            <w:rStyle w:val="Hyperlink"/>
            <w:rFonts w:cstheme="minorHAnsi"/>
          </w:rPr>
          <w:t>implementing goals of care plan</w:t>
        </w:r>
      </w:hyperlink>
      <w:r w:rsidRPr="00845394">
        <w:rPr>
          <w:rFonts w:cstheme="minorHAnsi"/>
        </w:rPr>
        <w:t xml:space="preserve">. </w:t>
      </w:r>
    </w:p>
    <w:sectPr w:rsidR="009676A8" w:rsidRPr="00C63099" w:rsidSect="00681D35">
      <w:headerReference w:type="default" r:id="rId24"/>
      <w:footerReference w:type="default" r:id="rId2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1FB" w:rsidRDefault="00DA11FB" w:rsidP="00681D35">
      <w:pPr>
        <w:spacing w:after="0" w:line="240" w:lineRule="auto"/>
      </w:pPr>
      <w:r>
        <w:separator/>
      </w:r>
    </w:p>
  </w:endnote>
  <w:endnote w:type="continuationSeparator" w:id="0">
    <w:p w:rsidR="00DA11FB" w:rsidRDefault="00DA11FB" w:rsidP="0068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00496"/>
      <w:docPartObj>
        <w:docPartGallery w:val="Page Numbers (Bottom of Page)"/>
        <w:docPartUnique/>
      </w:docPartObj>
    </w:sdtPr>
    <w:sdtEndPr>
      <w:rPr>
        <w:noProof/>
      </w:rPr>
    </w:sdtEndPr>
    <w:sdtContent>
      <w:p w:rsidR="00B92929" w:rsidRDefault="00B92929">
        <w:pPr>
          <w:pStyle w:val="Footer"/>
          <w:jc w:val="right"/>
        </w:pPr>
        <w:r>
          <w:rPr>
            <w:noProof/>
            <w:lang w:eastAsia="en-AU"/>
          </w:rPr>
          <w:drawing>
            <wp:anchor distT="0" distB="0" distL="114300" distR="114300" simplePos="0" relativeHeight="251656704" behindDoc="0" locked="0" layoutInCell="1" allowOverlap="1" wp14:anchorId="799CA2D8" wp14:editId="09202040">
              <wp:simplePos x="0" y="0"/>
              <wp:positionH relativeFrom="column">
                <wp:posOffset>3057525</wp:posOffset>
              </wp:positionH>
              <wp:positionV relativeFrom="paragraph">
                <wp:posOffset>-743585</wp:posOffset>
              </wp:positionV>
              <wp:extent cx="3105150" cy="813435"/>
              <wp:effectExtent l="0" t="0" r="0" b="5715"/>
              <wp:wrapNone/>
              <wp:docPr id="14" name="Picture 14" descr="NSW Health Hunter New England LHD - col 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Hunter New England LHD - col gr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14:anchorId="3081DA65" wp14:editId="00A40F70">
              <wp:simplePos x="0" y="0"/>
              <wp:positionH relativeFrom="column">
                <wp:posOffset>66675</wp:posOffset>
              </wp:positionH>
              <wp:positionV relativeFrom="paragraph">
                <wp:posOffset>-897255</wp:posOffset>
              </wp:positionV>
              <wp:extent cx="1857375" cy="1044575"/>
              <wp:effectExtent l="0" t="0" r="9525"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066BF">
          <w:rPr>
            <w:noProof/>
          </w:rPr>
          <w:t>8</w:t>
        </w:r>
        <w:r>
          <w:rPr>
            <w:noProof/>
          </w:rPr>
          <w:fldChar w:fldCharType="end"/>
        </w:r>
      </w:p>
    </w:sdtContent>
  </w:sdt>
  <w:p w:rsidR="00B92929" w:rsidRDefault="00B9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1FB" w:rsidRDefault="00DA11FB" w:rsidP="00681D35">
      <w:pPr>
        <w:spacing w:after="0" w:line="240" w:lineRule="auto"/>
      </w:pPr>
      <w:r>
        <w:separator/>
      </w:r>
    </w:p>
  </w:footnote>
  <w:footnote w:type="continuationSeparator" w:id="0">
    <w:p w:rsidR="00DA11FB" w:rsidRDefault="00DA11FB" w:rsidP="0068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299493"/>
      <w:docPartObj>
        <w:docPartGallery w:val="Watermarks"/>
        <w:docPartUnique/>
      </w:docPartObj>
    </w:sdtPr>
    <w:sdtEndPr/>
    <w:sdtContent>
      <w:p w:rsidR="00B92929" w:rsidRDefault="00DA11FB">
        <w:pPr>
          <w:pStyle w:val="Header"/>
        </w:pPr>
        <w:r>
          <w:rPr>
            <w:noProof/>
            <w:lang w:val="en-US"/>
          </w:rPr>
          <w:pict w14:anchorId="2256D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561"/>
    <w:multiLevelType w:val="hybridMultilevel"/>
    <w:tmpl w:val="CD90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E2996"/>
    <w:multiLevelType w:val="hybridMultilevel"/>
    <w:tmpl w:val="0EE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9CC"/>
    <w:multiLevelType w:val="hybridMultilevel"/>
    <w:tmpl w:val="83222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D6436A4">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C7FF9"/>
    <w:multiLevelType w:val="hybridMultilevel"/>
    <w:tmpl w:val="E4623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9B52D6"/>
    <w:multiLevelType w:val="hybridMultilevel"/>
    <w:tmpl w:val="5D82E252"/>
    <w:lvl w:ilvl="0" w:tplc="89EA384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E626B"/>
    <w:multiLevelType w:val="hybridMultilevel"/>
    <w:tmpl w:val="BB44C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BE217B"/>
    <w:multiLevelType w:val="hybridMultilevel"/>
    <w:tmpl w:val="664C0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0752DF2"/>
    <w:multiLevelType w:val="hybridMultilevel"/>
    <w:tmpl w:val="B696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F180E"/>
    <w:multiLevelType w:val="hybridMultilevel"/>
    <w:tmpl w:val="EC5E611E"/>
    <w:lvl w:ilvl="0" w:tplc="89EA384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D01DD"/>
    <w:multiLevelType w:val="hybridMultilevel"/>
    <w:tmpl w:val="7382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2023A4"/>
    <w:multiLevelType w:val="hybridMultilevel"/>
    <w:tmpl w:val="246A60FC"/>
    <w:lvl w:ilvl="0" w:tplc="89EA384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47384"/>
    <w:multiLevelType w:val="hybridMultilevel"/>
    <w:tmpl w:val="DAD4989A"/>
    <w:lvl w:ilvl="0" w:tplc="89EA384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7931F9"/>
    <w:multiLevelType w:val="hybridMultilevel"/>
    <w:tmpl w:val="A39C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4021A"/>
    <w:multiLevelType w:val="hybridMultilevel"/>
    <w:tmpl w:val="B46635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0766C7"/>
    <w:multiLevelType w:val="hybridMultilevel"/>
    <w:tmpl w:val="6DF4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8E4417"/>
    <w:multiLevelType w:val="hybridMultilevel"/>
    <w:tmpl w:val="B77E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CF0D9F"/>
    <w:multiLevelType w:val="hybridMultilevel"/>
    <w:tmpl w:val="9A86A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4"/>
  </w:num>
  <w:num w:numId="6">
    <w:abstractNumId w:val="15"/>
  </w:num>
  <w:num w:numId="7">
    <w:abstractNumId w:val="2"/>
  </w:num>
  <w:num w:numId="8">
    <w:abstractNumId w:val="11"/>
  </w:num>
  <w:num w:numId="9">
    <w:abstractNumId w:val="10"/>
  </w:num>
  <w:num w:numId="10">
    <w:abstractNumId w:val="4"/>
  </w:num>
  <w:num w:numId="11">
    <w:abstractNumId w:val="16"/>
  </w:num>
  <w:num w:numId="12">
    <w:abstractNumId w:val="12"/>
  </w:num>
  <w:num w:numId="13">
    <w:abstractNumId w:val="6"/>
  </w:num>
  <w:num w:numId="14">
    <w:abstractNumId w:val="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2F"/>
    <w:rsid w:val="00007A73"/>
    <w:rsid w:val="00074436"/>
    <w:rsid w:val="00080D71"/>
    <w:rsid w:val="00093E98"/>
    <w:rsid w:val="0009676C"/>
    <w:rsid w:val="00097277"/>
    <w:rsid w:val="000C41A4"/>
    <w:rsid w:val="000D6BB2"/>
    <w:rsid w:val="000E562F"/>
    <w:rsid w:val="000F6108"/>
    <w:rsid w:val="0014500F"/>
    <w:rsid w:val="00175B2F"/>
    <w:rsid w:val="0019601A"/>
    <w:rsid w:val="001A656B"/>
    <w:rsid w:val="001B7A2B"/>
    <w:rsid w:val="001C4C97"/>
    <w:rsid w:val="001D49BF"/>
    <w:rsid w:val="001F5599"/>
    <w:rsid w:val="001F6C35"/>
    <w:rsid w:val="00216E80"/>
    <w:rsid w:val="00236AFF"/>
    <w:rsid w:val="002A7486"/>
    <w:rsid w:val="0035124D"/>
    <w:rsid w:val="00374583"/>
    <w:rsid w:val="00376491"/>
    <w:rsid w:val="003939F3"/>
    <w:rsid w:val="003B76B2"/>
    <w:rsid w:val="003C7B74"/>
    <w:rsid w:val="003D08A1"/>
    <w:rsid w:val="003E1A4F"/>
    <w:rsid w:val="00463878"/>
    <w:rsid w:val="00474C7E"/>
    <w:rsid w:val="00480B25"/>
    <w:rsid w:val="004B1944"/>
    <w:rsid w:val="005003BF"/>
    <w:rsid w:val="00500D41"/>
    <w:rsid w:val="005047C0"/>
    <w:rsid w:val="00516467"/>
    <w:rsid w:val="00570719"/>
    <w:rsid w:val="00583B4E"/>
    <w:rsid w:val="00592FB9"/>
    <w:rsid w:val="00610DB0"/>
    <w:rsid w:val="00634565"/>
    <w:rsid w:val="00637354"/>
    <w:rsid w:val="00642E05"/>
    <w:rsid w:val="00676CCF"/>
    <w:rsid w:val="00681D35"/>
    <w:rsid w:val="006A2C9A"/>
    <w:rsid w:val="006A37E6"/>
    <w:rsid w:val="006C660C"/>
    <w:rsid w:val="00733643"/>
    <w:rsid w:val="00755E50"/>
    <w:rsid w:val="007B0D93"/>
    <w:rsid w:val="007F0835"/>
    <w:rsid w:val="007F174B"/>
    <w:rsid w:val="007F19F3"/>
    <w:rsid w:val="008116CD"/>
    <w:rsid w:val="00845394"/>
    <w:rsid w:val="00853FD9"/>
    <w:rsid w:val="008633EC"/>
    <w:rsid w:val="00884624"/>
    <w:rsid w:val="008A0E0D"/>
    <w:rsid w:val="008B3F5F"/>
    <w:rsid w:val="008E5EC9"/>
    <w:rsid w:val="0093701F"/>
    <w:rsid w:val="0094021F"/>
    <w:rsid w:val="00960972"/>
    <w:rsid w:val="009676A8"/>
    <w:rsid w:val="00977739"/>
    <w:rsid w:val="00982D19"/>
    <w:rsid w:val="00983079"/>
    <w:rsid w:val="009A5FE6"/>
    <w:rsid w:val="009D616D"/>
    <w:rsid w:val="00A066BF"/>
    <w:rsid w:val="00A35643"/>
    <w:rsid w:val="00A46059"/>
    <w:rsid w:val="00A528EC"/>
    <w:rsid w:val="00A559DE"/>
    <w:rsid w:val="00A61244"/>
    <w:rsid w:val="00A840C3"/>
    <w:rsid w:val="00A96955"/>
    <w:rsid w:val="00AA642F"/>
    <w:rsid w:val="00B565E3"/>
    <w:rsid w:val="00B776C9"/>
    <w:rsid w:val="00B80ABB"/>
    <w:rsid w:val="00B82591"/>
    <w:rsid w:val="00B8508E"/>
    <w:rsid w:val="00B92929"/>
    <w:rsid w:val="00BA5002"/>
    <w:rsid w:val="00BB53F7"/>
    <w:rsid w:val="00BE1A11"/>
    <w:rsid w:val="00C301E8"/>
    <w:rsid w:val="00C44BB3"/>
    <w:rsid w:val="00C63099"/>
    <w:rsid w:val="00C64080"/>
    <w:rsid w:val="00C64E6F"/>
    <w:rsid w:val="00C760FB"/>
    <w:rsid w:val="00CB5976"/>
    <w:rsid w:val="00CC013B"/>
    <w:rsid w:val="00CD41A5"/>
    <w:rsid w:val="00CE6052"/>
    <w:rsid w:val="00CF1670"/>
    <w:rsid w:val="00D06EA7"/>
    <w:rsid w:val="00D41F4A"/>
    <w:rsid w:val="00D90690"/>
    <w:rsid w:val="00D96441"/>
    <w:rsid w:val="00D96713"/>
    <w:rsid w:val="00DA11FB"/>
    <w:rsid w:val="00DB0A6B"/>
    <w:rsid w:val="00DC6786"/>
    <w:rsid w:val="00DD41EC"/>
    <w:rsid w:val="00E0329E"/>
    <w:rsid w:val="00E4413B"/>
    <w:rsid w:val="00E52958"/>
    <w:rsid w:val="00E5741F"/>
    <w:rsid w:val="00E67E6B"/>
    <w:rsid w:val="00E828C4"/>
    <w:rsid w:val="00E9276F"/>
    <w:rsid w:val="00E953FD"/>
    <w:rsid w:val="00EA17B1"/>
    <w:rsid w:val="00EA6967"/>
    <w:rsid w:val="00EB47CB"/>
    <w:rsid w:val="00ED6C5B"/>
    <w:rsid w:val="00F10952"/>
    <w:rsid w:val="00F44942"/>
    <w:rsid w:val="00F51D37"/>
    <w:rsid w:val="00F60DD9"/>
    <w:rsid w:val="00F81561"/>
    <w:rsid w:val="00F831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E8B96A3-F11D-443A-A861-F8AA1AE2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CF"/>
    <w:pPr>
      <w:ind w:left="720"/>
      <w:contextualSpacing/>
    </w:pPr>
  </w:style>
  <w:style w:type="character" w:styleId="Hyperlink">
    <w:name w:val="Hyperlink"/>
    <w:basedOn w:val="DefaultParagraphFont"/>
    <w:uiPriority w:val="99"/>
    <w:unhideWhenUsed/>
    <w:rsid w:val="00463878"/>
    <w:rPr>
      <w:color w:val="0563C1" w:themeColor="hyperlink"/>
      <w:u w:val="single"/>
    </w:rPr>
  </w:style>
  <w:style w:type="character" w:customStyle="1" w:styleId="UnresolvedMention1">
    <w:name w:val="Unresolved Mention1"/>
    <w:basedOn w:val="DefaultParagraphFont"/>
    <w:uiPriority w:val="99"/>
    <w:semiHidden/>
    <w:unhideWhenUsed/>
    <w:rsid w:val="00463878"/>
    <w:rPr>
      <w:color w:val="605E5C"/>
      <w:shd w:val="clear" w:color="auto" w:fill="E1DFDD"/>
    </w:rPr>
  </w:style>
  <w:style w:type="paragraph" w:styleId="BalloonText">
    <w:name w:val="Balloon Text"/>
    <w:basedOn w:val="Normal"/>
    <w:link w:val="BalloonTextChar"/>
    <w:uiPriority w:val="99"/>
    <w:semiHidden/>
    <w:unhideWhenUsed/>
    <w:rsid w:val="00093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98"/>
    <w:rPr>
      <w:rFonts w:ascii="Segoe UI" w:hAnsi="Segoe UI" w:cs="Segoe UI"/>
      <w:sz w:val="18"/>
      <w:szCs w:val="18"/>
    </w:rPr>
  </w:style>
  <w:style w:type="character" w:styleId="CommentReference">
    <w:name w:val="annotation reference"/>
    <w:basedOn w:val="DefaultParagraphFont"/>
    <w:uiPriority w:val="99"/>
    <w:semiHidden/>
    <w:unhideWhenUsed/>
    <w:rsid w:val="00AA642F"/>
    <w:rPr>
      <w:sz w:val="16"/>
      <w:szCs w:val="16"/>
    </w:rPr>
  </w:style>
  <w:style w:type="paragraph" w:styleId="CommentText">
    <w:name w:val="annotation text"/>
    <w:basedOn w:val="Normal"/>
    <w:link w:val="CommentTextChar"/>
    <w:uiPriority w:val="99"/>
    <w:semiHidden/>
    <w:unhideWhenUsed/>
    <w:rsid w:val="00AA642F"/>
    <w:pPr>
      <w:spacing w:line="240" w:lineRule="auto"/>
    </w:pPr>
    <w:rPr>
      <w:sz w:val="20"/>
      <w:szCs w:val="20"/>
    </w:rPr>
  </w:style>
  <w:style w:type="character" w:customStyle="1" w:styleId="CommentTextChar">
    <w:name w:val="Comment Text Char"/>
    <w:basedOn w:val="DefaultParagraphFont"/>
    <w:link w:val="CommentText"/>
    <w:uiPriority w:val="99"/>
    <w:semiHidden/>
    <w:rsid w:val="00AA642F"/>
    <w:rPr>
      <w:sz w:val="20"/>
      <w:szCs w:val="20"/>
    </w:rPr>
  </w:style>
  <w:style w:type="paragraph" w:styleId="CommentSubject">
    <w:name w:val="annotation subject"/>
    <w:basedOn w:val="CommentText"/>
    <w:next w:val="CommentText"/>
    <w:link w:val="CommentSubjectChar"/>
    <w:uiPriority w:val="99"/>
    <w:semiHidden/>
    <w:unhideWhenUsed/>
    <w:rsid w:val="00AA642F"/>
    <w:rPr>
      <w:b/>
      <w:bCs/>
    </w:rPr>
  </w:style>
  <w:style w:type="character" w:customStyle="1" w:styleId="CommentSubjectChar">
    <w:name w:val="Comment Subject Char"/>
    <w:basedOn w:val="CommentTextChar"/>
    <w:link w:val="CommentSubject"/>
    <w:uiPriority w:val="99"/>
    <w:semiHidden/>
    <w:rsid w:val="00AA642F"/>
    <w:rPr>
      <w:b/>
      <w:bCs/>
      <w:sz w:val="20"/>
      <w:szCs w:val="20"/>
    </w:rPr>
  </w:style>
  <w:style w:type="paragraph" w:styleId="Revision">
    <w:name w:val="Revision"/>
    <w:hidden/>
    <w:uiPriority w:val="99"/>
    <w:semiHidden/>
    <w:rsid w:val="007F174B"/>
    <w:pPr>
      <w:spacing w:after="0" w:line="240" w:lineRule="auto"/>
    </w:pPr>
  </w:style>
  <w:style w:type="character" w:styleId="FollowedHyperlink">
    <w:name w:val="FollowedHyperlink"/>
    <w:basedOn w:val="DefaultParagraphFont"/>
    <w:uiPriority w:val="99"/>
    <w:semiHidden/>
    <w:unhideWhenUsed/>
    <w:rsid w:val="00A96955"/>
    <w:rPr>
      <w:color w:val="954F72" w:themeColor="followedHyperlink"/>
      <w:u w:val="single"/>
    </w:rPr>
  </w:style>
  <w:style w:type="paragraph" w:styleId="Header">
    <w:name w:val="header"/>
    <w:basedOn w:val="Normal"/>
    <w:link w:val="HeaderChar"/>
    <w:uiPriority w:val="99"/>
    <w:unhideWhenUsed/>
    <w:rsid w:val="00681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D35"/>
  </w:style>
  <w:style w:type="paragraph" w:styleId="Footer">
    <w:name w:val="footer"/>
    <w:basedOn w:val="Normal"/>
    <w:link w:val="FooterChar"/>
    <w:uiPriority w:val="99"/>
    <w:unhideWhenUsed/>
    <w:rsid w:val="00681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D35"/>
  </w:style>
  <w:style w:type="character" w:customStyle="1" w:styleId="topicinactive">
    <w:name w:val="topicinactive"/>
    <w:basedOn w:val="DefaultParagraphFont"/>
    <w:rsid w:val="00977739"/>
  </w:style>
  <w:style w:type="paragraph" w:customStyle="1" w:styleId="bodytext">
    <w:name w:val="bodytext"/>
    <w:basedOn w:val="Normal"/>
    <w:rsid w:val="001960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196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01A"/>
    <w:rPr>
      <w:rFonts w:asciiTheme="majorHAnsi" w:eastAsiaTheme="majorEastAsia" w:hAnsiTheme="majorHAnsi" w:cstheme="majorBidi"/>
      <w:spacing w:val="-10"/>
      <w:kern w:val="28"/>
      <w:sz w:val="56"/>
      <w:szCs w:val="56"/>
    </w:rPr>
  </w:style>
  <w:style w:type="paragraph" w:customStyle="1" w:styleId="Default">
    <w:name w:val="Default"/>
    <w:rsid w:val="001D49BF"/>
    <w:pPr>
      <w:autoSpaceDE w:val="0"/>
      <w:autoSpaceDN w:val="0"/>
      <w:adjustRightInd w:val="0"/>
      <w:spacing w:after="0" w:line="240" w:lineRule="auto"/>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40644">
      <w:bodyDiv w:val="1"/>
      <w:marLeft w:val="0"/>
      <w:marRight w:val="0"/>
      <w:marTop w:val="0"/>
      <w:marBottom w:val="0"/>
      <w:divBdr>
        <w:top w:val="none" w:sz="0" w:space="0" w:color="auto"/>
        <w:left w:val="none" w:sz="0" w:space="0" w:color="auto"/>
        <w:bottom w:val="none" w:sz="0" w:space="0" w:color="auto"/>
        <w:right w:val="none" w:sz="0" w:space="0" w:color="auto"/>
      </w:divBdr>
      <w:divsChild>
        <w:div w:id="170027946">
          <w:marLeft w:val="0"/>
          <w:marRight w:val="0"/>
          <w:marTop w:val="0"/>
          <w:marBottom w:val="0"/>
          <w:divBdr>
            <w:top w:val="none" w:sz="0" w:space="0" w:color="auto"/>
            <w:left w:val="none" w:sz="0" w:space="0" w:color="auto"/>
            <w:bottom w:val="none" w:sz="0" w:space="0" w:color="auto"/>
            <w:right w:val="none" w:sz="0" w:space="0" w:color="auto"/>
          </w:divBdr>
        </w:div>
      </w:divsChild>
    </w:div>
    <w:div w:id="496654265">
      <w:bodyDiv w:val="1"/>
      <w:marLeft w:val="0"/>
      <w:marRight w:val="0"/>
      <w:marTop w:val="0"/>
      <w:marBottom w:val="0"/>
      <w:divBdr>
        <w:top w:val="none" w:sz="0" w:space="0" w:color="auto"/>
        <w:left w:val="none" w:sz="0" w:space="0" w:color="auto"/>
        <w:bottom w:val="none" w:sz="0" w:space="0" w:color="auto"/>
        <w:right w:val="none" w:sz="0" w:space="0" w:color="auto"/>
      </w:divBdr>
      <w:divsChild>
        <w:div w:id="247422123">
          <w:marLeft w:val="0"/>
          <w:marRight w:val="0"/>
          <w:marTop w:val="0"/>
          <w:marBottom w:val="0"/>
          <w:divBdr>
            <w:top w:val="none" w:sz="0" w:space="0" w:color="auto"/>
            <w:left w:val="none" w:sz="0" w:space="0" w:color="auto"/>
            <w:bottom w:val="none" w:sz="0" w:space="0" w:color="auto"/>
            <w:right w:val="none" w:sz="0" w:space="0" w:color="auto"/>
          </w:divBdr>
        </w:div>
      </w:divsChild>
    </w:div>
    <w:div w:id="735861140">
      <w:bodyDiv w:val="1"/>
      <w:marLeft w:val="0"/>
      <w:marRight w:val="0"/>
      <w:marTop w:val="0"/>
      <w:marBottom w:val="0"/>
      <w:divBdr>
        <w:top w:val="none" w:sz="0" w:space="0" w:color="auto"/>
        <w:left w:val="none" w:sz="0" w:space="0" w:color="auto"/>
        <w:bottom w:val="none" w:sz="0" w:space="0" w:color="auto"/>
        <w:right w:val="none" w:sz="0" w:space="0" w:color="auto"/>
      </w:divBdr>
      <w:divsChild>
        <w:div w:id="2029483488">
          <w:marLeft w:val="0"/>
          <w:marRight w:val="0"/>
          <w:marTop w:val="0"/>
          <w:marBottom w:val="0"/>
          <w:divBdr>
            <w:top w:val="none" w:sz="0" w:space="0" w:color="auto"/>
            <w:left w:val="none" w:sz="0" w:space="0" w:color="auto"/>
            <w:bottom w:val="none" w:sz="0" w:space="0" w:color="auto"/>
            <w:right w:val="none" w:sz="0" w:space="0" w:color="auto"/>
          </w:divBdr>
          <w:divsChild>
            <w:div w:id="1346857507">
              <w:marLeft w:val="0"/>
              <w:marRight w:val="0"/>
              <w:marTop w:val="0"/>
              <w:marBottom w:val="0"/>
              <w:divBdr>
                <w:top w:val="none" w:sz="0" w:space="0" w:color="auto"/>
                <w:left w:val="none" w:sz="0" w:space="0" w:color="auto"/>
                <w:bottom w:val="none" w:sz="0" w:space="0" w:color="auto"/>
                <w:right w:val="none" w:sz="0" w:space="0" w:color="auto"/>
              </w:divBdr>
              <w:divsChild>
                <w:div w:id="82461446">
                  <w:marLeft w:val="0"/>
                  <w:marRight w:val="0"/>
                  <w:marTop w:val="0"/>
                  <w:marBottom w:val="0"/>
                  <w:divBdr>
                    <w:top w:val="none" w:sz="0" w:space="0" w:color="auto"/>
                    <w:left w:val="none" w:sz="0" w:space="0" w:color="auto"/>
                    <w:bottom w:val="none" w:sz="0" w:space="0" w:color="auto"/>
                    <w:right w:val="none" w:sz="0" w:space="0" w:color="auto"/>
                  </w:divBdr>
                  <w:divsChild>
                    <w:div w:id="1971862509">
                      <w:marLeft w:val="0"/>
                      <w:marRight w:val="0"/>
                      <w:marTop w:val="0"/>
                      <w:marBottom w:val="0"/>
                      <w:divBdr>
                        <w:top w:val="none" w:sz="0" w:space="0" w:color="auto"/>
                        <w:left w:val="none" w:sz="0" w:space="0" w:color="auto"/>
                        <w:bottom w:val="none" w:sz="0" w:space="0" w:color="auto"/>
                        <w:right w:val="none" w:sz="0" w:space="0" w:color="auto"/>
                      </w:divBdr>
                      <w:divsChild>
                        <w:div w:id="1696269552">
                          <w:marLeft w:val="0"/>
                          <w:marRight w:val="0"/>
                          <w:marTop w:val="0"/>
                          <w:marBottom w:val="0"/>
                          <w:divBdr>
                            <w:top w:val="none" w:sz="0" w:space="0" w:color="auto"/>
                            <w:left w:val="none" w:sz="0" w:space="0" w:color="auto"/>
                            <w:bottom w:val="none" w:sz="0" w:space="0" w:color="auto"/>
                            <w:right w:val="none" w:sz="0" w:space="0" w:color="auto"/>
                          </w:divBdr>
                          <w:divsChild>
                            <w:div w:id="1498111812">
                              <w:marLeft w:val="2700"/>
                              <w:marRight w:val="3960"/>
                              <w:marTop w:val="0"/>
                              <w:marBottom w:val="0"/>
                              <w:divBdr>
                                <w:top w:val="none" w:sz="0" w:space="0" w:color="auto"/>
                                <w:left w:val="none" w:sz="0" w:space="0" w:color="auto"/>
                                <w:bottom w:val="none" w:sz="0" w:space="0" w:color="auto"/>
                                <w:right w:val="none" w:sz="0" w:space="0" w:color="auto"/>
                              </w:divBdr>
                              <w:divsChild>
                                <w:div w:id="1002583229">
                                  <w:marLeft w:val="0"/>
                                  <w:marRight w:val="0"/>
                                  <w:marTop w:val="0"/>
                                  <w:marBottom w:val="0"/>
                                  <w:divBdr>
                                    <w:top w:val="none" w:sz="0" w:space="0" w:color="auto"/>
                                    <w:left w:val="none" w:sz="0" w:space="0" w:color="auto"/>
                                    <w:bottom w:val="none" w:sz="0" w:space="0" w:color="auto"/>
                                    <w:right w:val="none" w:sz="0" w:space="0" w:color="auto"/>
                                  </w:divBdr>
                                  <w:divsChild>
                                    <w:div w:id="968704803">
                                      <w:marLeft w:val="0"/>
                                      <w:marRight w:val="0"/>
                                      <w:marTop w:val="0"/>
                                      <w:marBottom w:val="0"/>
                                      <w:divBdr>
                                        <w:top w:val="none" w:sz="0" w:space="0" w:color="auto"/>
                                        <w:left w:val="none" w:sz="0" w:space="0" w:color="auto"/>
                                        <w:bottom w:val="none" w:sz="0" w:space="0" w:color="auto"/>
                                        <w:right w:val="none" w:sz="0" w:space="0" w:color="auto"/>
                                      </w:divBdr>
                                      <w:divsChild>
                                        <w:div w:id="1034766960">
                                          <w:marLeft w:val="0"/>
                                          <w:marRight w:val="0"/>
                                          <w:marTop w:val="0"/>
                                          <w:marBottom w:val="0"/>
                                          <w:divBdr>
                                            <w:top w:val="none" w:sz="0" w:space="0" w:color="auto"/>
                                            <w:left w:val="none" w:sz="0" w:space="0" w:color="auto"/>
                                            <w:bottom w:val="none" w:sz="0" w:space="0" w:color="auto"/>
                                            <w:right w:val="none" w:sz="0" w:space="0" w:color="auto"/>
                                          </w:divBdr>
                                          <w:divsChild>
                                            <w:div w:id="1486051706">
                                              <w:marLeft w:val="0"/>
                                              <w:marRight w:val="0"/>
                                              <w:marTop w:val="90"/>
                                              <w:marBottom w:val="0"/>
                                              <w:divBdr>
                                                <w:top w:val="none" w:sz="0" w:space="0" w:color="auto"/>
                                                <w:left w:val="none" w:sz="0" w:space="0" w:color="auto"/>
                                                <w:bottom w:val="none" w:sz="0" w:space="0" w:color="auto"/>
                                                <w:right w:val="none" w:sz="0" w:space="0" w:color="auto"/>
                                              </w:divBdr>
                                              <w:divsChild>
                                                <w:div w:id="728840745">
                                                  <w:marLeft w:val="0"/>
                                                  <w:marRight w:val="0"/>
                                                  <w:marTop w:val="0"/>
                                                  <w:marBottom w:val="405"/>
                                                  <w:divBdr>
                                                    <w:top w:val="none" w:sz="0" w:space="0" w:color="auto"/>
                                                    <w:left w:val="none" w:sz="0" w:space="0" w:color="auto"/>
                                                    <w:bottom w:val="none" w:sz="0" w:space="0" w:color="auto"/>
                                                    <w:right w:val="none" w:sz="0" w:space="0" w:color="auto"/>
                                                  </w:divBdr>
                                                  <w:divsChild>
                                                    <w:div w:id="365955971">
                                                      <w:marLeft w:val="0"/>
                                                      <w:marRight w:val="0"/>
                                                      <w:marTop w:val="0"/>
                                                      <w:marBottom w:val="0"/>
                                                      <w:divBdr>
                                                        <w:top w:val="none" w:sz="0" w:space="0" w:color="auto"/>
                                                        <w:left w:val="none" w:sz="0" w:space="0" w:color="auto"/>
                                                        <w:bottom w:val="none" w:sz="0" w:space="0" w:color="auto"/>
                                                        <w:right w:val="none" w:sz="0" w:space="0" w:color="auto"/>
                                                      </w:divBdr>
                                                      <w:divsChild>
                                                        <w:div w:id="10793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977935">
      <w:bodyDiv w:val="1"/>
      <w:marLeft w:val="0"/>
      <w:marRight w:val="0"/>
      <w:marTop w:val="0"/>
      <w:marBottom w:val="0"/>
      <w:divBdr>
        <w:top w:val="none" w:sz="0" w:space="0" w:color="auto"/>
        <w:left w:val="none" w:sz="0" w:space="0" w:color="auto"/>
        <w:bottom w:val="none" w:sz="0" w:space="0" w:color="auto"/>
        <w:right w:val="none" w:sz="0" w:space="0" w:color="auto"/>
      </w:divBdr>
    </w:div>
    <w:div w:id="18613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mm6912e1.htm" TargetMode="External"/><Relationship Id="rId13" Type="http://schemas.openxmlformats.org/officeDocument/2006/relationships/hyperlink" Target="https://www1.health.gov.au/internet/main/publishing.nsf/Content/cdna-song-novel-coronavirus.htm" TargetMode="External"/><Relationship Id="rId18" Type="http://schemas.openxmlformats.org/officeDocument/2006/relationships/hyperlink" Target="https://www1.health.gov.au/internet/main/publishing.nsf/Content/cdna-song-novel-coronaviru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gov.au/resources/publications/coronavirus-covid-19-guide-for-home-care-providers" TargetMode="External"/><Relationship Id="rId7" Type="http://schemas.openxmlformats.org/officeDocument/2006/relationships/endnotes" Target="endnotes.xml"/><Relationship Id="rId12" Type="http://schemas.openxmlformats.org/officeDocument/2006/relationships/hyperlink" Target="https://www.eldac.com.au/tabid/5026/Default.aspx" TargetMode="External"/><Relationship Id="rId17" Type="http://schemas.openxmlformats.org/officeDocument/2006/relationships/hyperlink" Target="http://dx.doi.org/10.15585/mmwr.mm6912e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ec.health.nsw.gov.au/__data/assets/pdf_file/0007/571543/RACF-Infection-prevention-and-control-COVID-19-Interim-guidance-March-2020.pdf" TargetMode="External"/><Relationship Id="rId20" Type="http://schemas.openxmlformats.org/officeDocument/2006/relationships/hyperlink" Target="https://mail.hunterml.com.au/owa/redir.aspx?C=V2vp4hDEc0aqPSPW7wz3dsHev8zdldEIn5S6fNKiBJbhOtoIugWv7C2P4fSZ1z3QhIQU3Eeo3yM.&amp;URL=http%3a%2f%2face.healthpathways.org.a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draft.healthpathways.org.au/3127.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alth.gov.au/sites/default/files/documents/2020/03/coronavirus-covid-19-guidelines-for-outbreaks-in-residential-care-facilities.pdf" TargetMode="External"/><Relationship Id="rId23" Type="http://schemas.openxmlformats.org/officeDocument/2006/relationships/hyperlink" Target="https://www.dhhs.tas.gov.au/__data/assets/pdf_file/0017/100475/Web_Flow_Chart-Implementing_Goals_of_Care_Plan-Mar2011.pdf" TargetMode="External"/><Relationship Id="rId10" Type="http://schemas.openxmlformats.org/officeDocument/2006/relationships/hyperlink" Target="https://ace.healthpathways.org.au/index.htm" TargetMode="External"/><Relationship Id="rId19" Type="http://schemas.openxmlformats.org/officeDocument/2006/relationships/hyperlink" Target="https://tgldcdp.tg.org.au.acs.hcn.com.au/viewTopic?topicfile=community-acquired-pneumonia-aged-care" TargetMode="External"/><Relationship Id="rId4" Type="http://schemas.openxmlformats.org/officeDocument/2006/relationships/settings" Target="settings.xml"/><Relationship Id="rId9" Type="http://schemas.openxmlformats.org/officeDocument/2006/relationships/hyperlink" Target="mailto:agedcarecovidppe@health.gov.au" TargetMode="External"/><Relationship Id="rId14" Type="http://schemas.openxmlformats.org/officeDocument/2006/relationships/hyperlink" Target="http://www.cec.health.nsw.gov.au/__data/assets/pdf_file/0005/359339/LDOL-Anticipatory-Prescribing-Guide-April-2017.PDF"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16781\AppData\Local\Microsoft\Windows\INetCache\Content.Outlook\DT8T74EL\Management%20of%20Covi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3A68-39AF-0E48-A0DD-AAFC41D3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C:\Users\50016781\AppData\Local\Microsoft\Windows\INetCache\Content.Outlook\DT8T74EL\Management of Covid (002).dotx</Template>
  <TotalTime>1</TotalTime>
  <Pages>8</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 Hullick</dc:creator>
  <cp:keywords/>
  <dc:description/>
  <cp:lastModifiedBy>Di Bridger</cp:lastModifiedBy>
  <cp:revision>2</cp:revision>
  <cp:lastPrinted>2020-03-26T00:26:00Z</cp:lastPrinted>
  <dcterms:created xsi:type="dcterms:W3CDTF">2020-04-06T04:27:00Z</dcterms:created>
  <dcterms:modified xsi:type="dcterms:W3CDTF">2020-04-06T04:27:00Z</dcterms:modified>
</cp:coreProperties>
</file>